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Default="0046491C" w:rsidP="00E34F08">
      <w:pPr>
        <w:spacing w:after="0" w:line="360" w:lineRule="auto"/>
        <w:jc w:val="both"/>
        <w:rPr>
          <w:rFonts w:ascii="Palatino Linotype" w:hAnsi="Palatino Linotype" w:cs="Arial"/>
          <w:sz w:val="24"/>
          <w:szCs w:val="24"/>
        </w:rPr>
      </w:pPr>
      <w:r w:rsidRPr="0001046D">
        <w:rPr>
          <w:rFonts w:ascii="Palatino Linotype" w:hAnsi="Palatino Linotype" w:cs="Arial"/>
          <w:b/>
          <w:sz w:val="24"/>
          <w:szCs w:val="24"/>
        </w:rPr>
        <w:t>VOTO PARTICULAR DEL COMISIONADO JOSÉ GUADA</w:t>
      </w:r>
      <w:r w:rsidR="00105730">
        <w:rPr>
          <w:rFonts w:ascii="Palatino Linotype" w:hAnsi="Palatino Linotype" w:cs="Arial"/>
          <w:b/>
          <w:sz w:val="24"/>
          <w:szCs w:val="24"/>
        </w:rPr>
        <w:t xml:space="preserve">LUPE LUNA HERNÁNDEZ </w:t>
      </w:r>
      <w:r w:rsidR="00D72985" w:rsidRPr="0001046D">
        <w:rPr>
          <w:rFonts w:ascii="Palatino Linotype" w:hAnsi="Palatino Linotype" w:cs="Arial"/>
          <w:b/>
          <w:sz w:val="24"/>
          <w:szCs w:val="24"/>
        </w:rPr>
        <w:t>E</w:t>
      </w:r>
      <w:r w:rsidR="00105730">
        <w:rPr>
          <w:rFonts w:ascii="Palatino Linotype" w:hAnsi="Palatino Linotype" w:cs="Arial"/>
          <w:b/>
          <w:sz w:val="24"/>
          <w:szCs w:val="24"/>
        </w:rPr>
        <w:t>N E</w:t>
      </w:r>
      <w:r w:rsidR="00D72985" w:rsidRPr="0001046D">
        <w:rPr>
          <w:rFonts w:ascii="Palatino Linotype" w:hAnsi="Palatino Linotype" w:cs="Arial"/>
          <w:b/>
          <w:sz w:val="24"/>
          <w:szCs w:val="24"/>
        </w:rPr>
        <w:t>L RECURSO</w:t>
      </w:r>
      <w:r w:rsidR="00BF3534" w:rsidRPr="0001046D">
        <w:rPr>
          <w:rFonts w:ascii="Palatino Linotype" w:hAnsi="Palatino Linotype" w:cs="Arial"/>
          <w:b/>
          <w:sz w:val="24"/>
          <w:szCs w:val="24"/>
        </w:rPr>
        <w:t xml:space="preserve"> DE REVISIÓN </w:t>
      </w:r>
      <w:r w:rsidR="00A93705">
        <w:rPr>
          <w:rFonts w:ascii="Palatino Linotype" w:hAnsi="Palatino Linotype" w:cs="Arial"/>
          <w:b/>
          <w:sz w:val="24"/>
          <w:szCs w:val="24"/>
        </w:rPr>
        <w:t>008</w:t>
      </w:r>
      <w:r w:rsidR="00FC4635">
        <w:rPr>
          <w:rFonts w:ascii="Palatino Linotype" w:hAnsi="Palatino Linotype" w:cs="Arial"/>
          <w:b/>
          <w:sz w:val="24"/>
          <w:szCs w:val="24"/>
        </w:rPr>
        <w:t>92</w:t>
      </w:r>
      <w:r w:rsidR="00C4038B">
        <w:rPr>
          <w:rFonts w:ascii="Palatino Linotype" w:hAnsi="Palatino Linotype" w:cs="Arial"/>
          <w:b/>
          <w:sz w:val="24"/>
          <w:szCs w:val="24"/>
        </w:rPr>
        <w:t>/INFOEM/IP/RR/2019</w:t>
      </w:r>
      <w:r w:rsidR="0000525F" w:rsidRPr="00E34F08">
        <w:rPr>
          <w:rFonts w:ascii="Palatino Linotype" w:hAnsi="Palatino Linotype" w:cs="Arial"/>
          <w:b/>
          <w:sz w:val="24"/>
          <w:szCs w:val="24"/>
        </w:rPr>
        <w:t>.</w:t>
      </w:r>
    </w:p>
    <w:p w:rsidR="00105730" w:rsidRPr="0001046D" w:rsidRDefault="00105730" w:rsidP="00E47A30">
      <w:pPr>
        <w:spacing w:after="0" w:line="360" w:lineRule="auto"/>
        <w:jc w:val="center"/>
        <w:rPr>
          <w:rFonts w:ascii="Palatino Linotype" w:hAnsi="Palatino Linotype" w:cs="Arial"/>
          <w:sz w:val="24"/>
          <w:szCs w:val="24"/>
        </w:rPr>
      </w:pPr>
    </w:p>
    <w:p w:rsidR="00C4038B" w:rsidRPr="00105730" w:rsidRDefault="0046491C" w:rsidP="00E47A30">
      <w:pPr>
        <w:spacing w:after="0" w:line="360" w:lineRule="auto"/>
        <w:jc w:val="center"/>
        <w:rPr>
          <w:rFonts w:ascii="Palatino Linotype" w:hAnsi="Palatino Linotype" w:cs="Arial"/>
          <w:b/>
          <w:sz w:val="24"/>
          <w:szCs w:val="24"/>
        </w:rPr>
      </w:pPr>
      <w:r w:rsidRPr="0001046D">
        <w:rPr>
          <w:rFonts w:ascii="Palatino Linotype" w:hAnsi="Palatino Linotype" w:cs="Arial"/>
          <w:b/>
          <w:sz w:val="24"/>
          <w:szCs w:val="24"/>
        </w:rPr>
        <w:t>Líneas argumentativas:</w:t>
      </w: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EA2C08" w:rsidRPr="0001046D" w:rsidRDefault="00EA2C08" w:rsidP="00EA2C08">
      <w:pPr>
        <w:spacing w:after="0" w:line="336" w:lineRule="auto"/>
        <w:jc w:val="both"/>
        <w:rPr>
          <w:rFonts w:ascii="Palatino Linotype" w:hAnsi="Palatino Linotype" w:cs="Arial"/>
          <w:sz w:val="24"/>
          <w:szCs w:val="24"/>
        </w:rPr>
      </w:pPr>
    </w:p>
    <w:p w:rsidR="0001046D"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 xml:space="preserve">La figura de actos consentidos no debe ser invocada en el derecho humano </w:t>
      </w:r>
      <w:proofErr w:type="gramStart"/>
      <w:r w:rsidRPr="0001046D">
        <w:rPr>
          <w:rFonts w:ascii="Palatino Linotype" w:hAnsi="Palatino Linotype" w:cs="Arial"/>
          <w:sz w:val="24"/>
          <w:szCs w:val="24"/>
        </w:rPr>
        <w:t>fundamental</w:t>
      </w:r>
      <w:proofErr w:type="gramEnd"/>
      <w:r w:rsidRPr="0001046D">
        <w:rPr>
          <w:rFonts w:ascii="Palatino Linotype" w:hAnsi="Palatino Linotype" w:cs="Arial"/>
          <w:sz w:val="24"/>
          <w:szCs w:val="24"/>
        </w:rPr>
        <w:t xml:space="preserve"> de acceder a la información pública gubernamental.</w:t>
      </w:r>
    </w:p>
    <w:p w:rsidR="00105730" w:rsidRDefault="00105730" w:rsidP="00EA2C08">
      <w:pPr>
        <w:spacing w:after="0" w:line="336" w:lineRule="auto"/>
        <w:jc w:val="both"/>
        <w:rPr>
          <w:rFonts w:ascii="Palatino Linotype" w:hAnsi="Palatino Linotype" w:cs="Arial"/>
          <w:sz w:val="24"/>
          <w:szCs w:val="24"/>
        </w:rPr>
      </w:pPr>
    </w:p>
    <w:p w:rsidR="0046491C"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El Órgano Garante del derecho de acceso a la información pública no debe imponerles las cargas formales del proceso jurisdiccional a los particulares.</w:t>
      </w:r>
    </w:p>
    <w:p w:rsidR="00105730" w:rsidRPr="0001046D" w:rsidRDefault="00105730" w:rsidP="00EA2C08">
      <w:pPr>
        <w:spacing w:after="0" w:line="336" w:lineRule="auto"/>
        <w:jc w:val="both"/>
        <w:rPr>
          <w:rFonts w:ascii="Palatino Linotype" w:hAnsi="Palatino Linotype" w:cs="Arial"/>
          <w:sz w:val="24"/>
          <w:szCs w:val="24"/>
        </w:rPr>
      </w:pP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EA2C08" w:rsidRPr="0001046D" w:rsidRDefault="00EA2C08" w:rsidP="00EA2C08">
      <w:pPr>
        <w:spacing w:after="0" w:line="336" w:lineRule="auto"/>
        <w:jc w:val="both"/>
        <w:rPr>
          <w:rFonts w:ascii="Palatino Linotype" w:hAnsi="Palatino Linotype" w:cs="Arial"/>
          <w:sz w:val="24"/>
          <w:szCs w:val="24"/>
        </w:rPr>
      </w:pP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Restringir el derecho de acceso a la información públi</w:t>
      </w:r>
      <w:r w:rsidR="00FC4635">
        <w:rPr>
          <w:rFonts w:ascii="Palatino Linotype" w:hAnsi="Palatino Linotype" w:cs="Arial"/>
          <w:sz w:val="24"/>
          <w:szCs w:val="24"/>
        </w:rPr>
        <w:t xml:space="preserve">ca del particular al no ordenar </w:t>
      </w:r>
      <w:r w:rsidRPr="0001046D">
        <w:rPr>
          <w:rFonts w:ascii="Palatino Linotype" w:hAnsi="Palatino Linotype" w:cs="Arial"/>
          <w:sz w:val="24"/>
          <w:szCs w:val="24"/>
        </w:rPr>
        <w:t>la información solicitada por no impugnar la falta de entrega de los documentos solicitados, debilita la efectividad de la  garantía de este derecho humano al hacerla depender de un hecho desconocido.</w:t>
      </w:r>
    </w:p>
    <w:p w:rsidR="00EA2C08" w:rsidRDefault="00EA2C08" w:rsidP="00EA2C08">
      <w:pPr>
        <w:spacing w:after="0" w:line="336" w:lineRule="auto"/>
        <w:jc w:val="both"/>
        <w:rPr>
          <w:rFonts w:ascii="Palatino Linotype" w:hAnsi="Palatino Linotype" w:cs="Arial"/>
          <w:sz w:val="24"/>
          <w:szCs w:val="24"/>
        </w:rPr>
      </w:pPr>
    </w:p>
    <w:p w:rsidR="00FC4635" w:rsidRDefault="0046491C" w:rsidP="00FC4635">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Los órganos del Estado, tienen el deber que tienen dentro del margen de sus atribuciones, de prevenir violaciones a los derechos fundamentales.</w:t>
      </w:r>
    </w:p>
    <w:p w:rsidR="0046491C" w:rsidRPr="0001046D" w:rsidRDefault="00EA2C08" w:rsidP="00FC4635">
      <w:pPr>
        <w:spacing w:after="0" w:line="336" w:lineRule="auto"/>
        <w:jc w:val="center"/>
        <w:rPr>
          <w:rFonts w:ascii="Palatino Linotype" w:hAnsi="Palatino Linotype" w:cs="Arial"/>
          <w:sz w:val="24"/>
          <w:szCs w:val="24"/>
        </w:rPr>
      </w:pPr>
      <w:r w:rsidRPr="0001046D">
        <w:rPr>
          <w:rFonts w:ascii="Palatino Linotype" w:hAnsi="Palatino Linotype" w:cs="Arial"/>
          <w:b/>
          <w:sz w:val="24"/>
          <w:szCs w:val="24"/>
        </w:rPr>
        <w:lastRenderedPageBreak/>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1046D" w:rsidRDefault="0046491C" w:rsidP="00E34F08">
          <w:pPr>
            <w:pStyle w:val="TtulodeTDC"/>
            <w:spacing w:line="360" w:lineRule="auto"/>
            <w:rPr>
              <w:rFonts w:ascii="Palatino Linotype" w:hAnsi="Palatino Linotype"/>
            </w:rPr>
          </w:pPr>
        </w:p>
        <w:p w:rsidR="00F41F0C" w:rsidRDefault="0046491C">
          <w:pPr>
            <w:pStyle w:val="TDC1"/>
            <w:rPr>
              <w:rFonts w:eastAsiaTheme="minorEastAsia"/>
              <w:noProof/>
              <w:lang w:eastAsia="es-MX"/>
            </w:rPr>
          </w:pPr>
          <w:r w:rsidRPr="0001046D">
            <w:rPr>
              <w:rFonts w:ascii="Palatino Linotype" w:hAnsi="Palatino Linotype"/>
            </w:rPr>
            <w:fldChar w:fldCharType="begin"/>
          </w:r>
          <w:r w:rsidRPr="0001046D">
            <w:rPr>
              <w:rFonts w:ascii="Palatino Linotype" w:hAnsi="Palatino Linotype"/>
            </w:rPr>
            <w:instrText xml:space="preserve"> TOC \o "1-3" \h \z \u </w:instrText>
          </w:r>
          <w:r w:rsidRPr="0001046D">
            <w:rPr>
              <w:rFonts w:ascii="Palatino Linotype" w:hAnsi="Palatino Linotype"/>
            </w:rPr>
            <w:fldChar w:fldCharType="separate"/>
          </w:r>
          <w:hyperlink w:anchor="_Toc8674086" w:history="1">
            <w:r w:rsidR="00F41F0C" w:rsidRPr="00FB7CA2">
              <w:rPr>
                <w:rStyle w:val="Hipervnculo"/>
                <w:rFonts w:ascii="Palatino Linotype" w:hAnsi="Palatino Linotype"/>
                <w:b/>
                <w:noProof/>
              </w:rPr>
              <w:t>I.</w:t>
            </w:r>
            <w:r w:rsidR="00F41F0C">
              <w:rPr>
                <w:rFonts w:eastAsiaTheme="minorEastAsia"/>
                <w:noProof/>
                <w:lang w:eastAsia="es-MX"/>
              </w:rPr>
              <w:tab/>
            </w:r>
            <w:r w:rsidR="00F41F0C" w:rsidRPr="00FB7CA2">
              <w:rPr>
                <w:rStyle w:val="Hipervnculo"/>
                <w:rFonts w:ascii="Palatino Linotype" w:hAnsi="Palatino Linotype"/>
                <w:b/>
                <w:noProof/>
              </w:rPr>
              <w:t>Consideraciones Generales.</w:t>
            </w:r>
            <w:r w:rsidR="00F41F0C">
              <w:rPr>
                <w:noProof/>
                <w:webHidden/>
              </w:rPr>
              <w:tab/>
            </w:r>
            <w:r w:rsidR="00F41F0C">
              <w:rPr>
                <w:noProof/>
                <w:webHidden/>
              </w:rPr>
              <w:fldChar w:fldCharType="begin"/>
            </w:r>
            <w:r w:rsidR="00F41F0C">
              <w:rPr>
                <w:noProof/>
                <w:webHidden/>
              </w:rPr>
              <w:instrText xml:space="preserve"> PAGEREF _Toc8674086 \h </w:instrText>
            </w:r>
            <w:r w:rsidR="00F41F0C">
              <w:rPr>
                <w:noProof/>
                <w:webHidden/>
              </w:rPr>
            </w:r>
            <w:r w:rsidR="00F41F0C">
              <w:rPr>
                <w:noProof/>
                <w:webHidden/>
              </w:rPr>
              <w:fldChar w:fldCharType="separate"/>
            </w:r>
            <w:r w:rsidR="00F41F0C">
              <w:rPr>
                <w:noProof/>
                <w:webHidden/>
              </w:rPr>
              <w:t>2</w:t>
            </w:r>
            <w:r w:rsidR="00F41F0C">
              <w:rPr>
                <w:noProof/>
                <w:webHidden/>
              </w:rPr>
              <w:fldChar w:fldCharType="end"/>
            </w:r>
          </w:hyperlink>
        </w:p>
        <w:p w:rsidR="00F41F0C" w:rsidRDefault="009E6C5F">
          <w:pPr>
            <w:pStyle w:val="TDC1"/>
            <w:rPr>
              <w:rFonts w:eastAsiaTheme="minorEastAsia"/>
              <w:noProof/>
              <w:lang w:eastAsia="es-MX"/>
            </w:rPr>
          </w:pPr>
          <w:hyperlink w:anchor="_Toc8674087" w:history="1">
            <w:r w:rsidR="00F41F0C" w:rsidRPr="00FB7CA2">
              <w:rPr>
                <w:rStyle w:val="Hipervnculo"/>
                <w:rFonts w:ascii="Palatino Linotype" w:hAnsi="Palatino Linotype"/>
                <w:b/>
                <w:noProof/>
              </w:rPr>
              <w:t>II.</w:t>
            </w:r>
            <w:r w:rsidR="00F41F0C">
              <w:rPr>
                <w:rFonts w:eastAsiaTheme="minorEastAsia"/>
                <w:noProof/>
                <w:lang w:eastAsia="es-MX"/>
              </w:rPr>
              <w:tab/>
            </w:r>
            <w:r w:rsidR="00F41F0C" w:rsidRPr="00FB7CA2">
              <w:rPr>
                <w:rStyle w:val="Hipervnculo"/>
                <w:rFonts w:ascii="Palatino Linotype" w:hAnsi="Palatino Linotype"/>
                <w:b/>
                <w:noProof/>
              </w:rPr>
              <w:t>De los requerimientos planteados en el recurso de revisión.</w:t>
            </w:r>
            <w:r w:rsidR="00F41F0C">
              <w:rPr>
                <w:noProof/>
                <w:webHidden/>
              </w:rPr>
              <w:tab/>
            </w:r>
            <w:r w:rsidR="00F41F0C">
              <w:rPr>
                <w:noProof/>
                <w:webHidden/>
              </w:rPr>
              <w:fldChar w:fldCharType="begin"/>
            </w:r>
            <w:r w:rsidR="00F41F0C">
              <w:rPr>
                <w:noProof/>
                <w:webHidden/>
              </w:rPr>
              <w:instrText xml:space="preserve"> PAGEREF _Toc8674087 \h </w:instrText>
            </w:r>
            <w:r w:rsidR="00F41F0C">
              <w:rPr>
                <w:noProof/>
                <w:webHidden/>
              </w:rPr>
            </w:r>
            <w:r w:rsidR="00F41F0C">
              <w:rPr>
                <w:noProof/>
                <w:webHidden/>
              </w:rPr>
              <w:fldChar w:fldCharType="separate"/>
            </w:r>
            <w:r w:rsidR="00F41F0C">
              <w:rPr>
                <w:noProof/>
                <w:webHidden/>
              </w:rPr>
              <w:t>3</w:t>
            </w:r>
            <w:r w:rsidR="00F41F0C">
              <w:rPr>
                <w:noProof/>
                <w:webHidden/>
              </w:rPr>
              <w:fldChar w:fldCharType="end"/>
            </w:r>
          </w:hyperlink>
        </w:p>
        <w:p w:rsidR="00F41F0C" w:rsidRDefault="009E6C5F">
          <w:pPr>
            <w:pStyle w:val="TDC1"/>
            <w:rPr>
              <w:rFonts w:eastAsiaTheme="minorEastAsia"/>
              <w:noProof/>
              <w:lang w:eastAsia="es-MX"/>
            </w:rPr>
          </w:pPr>
          <w:hyperlink w:anchor="_Toc8674088" w:history="1">
            <w:r w:rsidR="00F41F0C" w:rsidRPr="00FB7CA2">
              <w:rPr>
                <w:rStyle w:val="Hipervnculo"/>
                <w:rFonts w:ascii="Palatino Linotype" w:hAnsi="Palatino Linotype"/>
                <w:b/>
                <w:noProof/>
              </w:rPr>
              <w:t>III.</w:t>
            </w:r>
            <w:r w:rsidR="00F41F0C">
              <w:rPr>
                <w:rFonts w:eastAsiaTheme="minorEastAsia"/>
                <w:noProof/>
                <w:lang w:eastAsia="es-MX"/>
              </w:rPr>
              <w:tab/>
            </w:r>
            <w:r w:rsidR="00F41F0C" w:rsidRPr="00FB7CA2">
              <w:rPr>
                <w:rStyle w:val="Hipervnculo"/>
                <w:rFonts w:ascii="Palatino Linotype" w:hAnsi="Palatino Linotype"/>
                <w:b/>
                <w:noProof/>
              </w:rPr>
              <w:t>Los actos consentidos no deben invocarse en el derecho fundamental de acceder a la información pública gubernamental.</w:t>
            </w:r>
            <w:r w:rsidR="00F41F0C">
              <w:rPr>
                <w:noProof/>
                <w:webHidden/>
              </w:rPr>
              <w:tab/>
            </w:r>
            <w:r w:rsidR="00F41F0C">
              <w:rPr>
                <w:noProof/>
                <w:webHidden/>
              </w:rPr>
              <w:fldChar w:fldCharType="begin"/>
            </w:r>
            <w:r w:rsidR="00F41F0C">
              <w:rPr>
                <w:noProof/>
                <w:webHidden/>
              </w:rPr>
              <w:instrText xml:space="preserve"> PAGEREF _Toc8674088 \h </w:instrText>
            </w:r>
            <w:r w:rsidR="00F41F0C">
              <w:rPr>
                <w:noProof/>
                <w:webHidden/>
              </w:rPr>
            </w:r>
            <w:r w:rsidR="00F41F0C">
              <w:rPr>
                <w:noProof/>
                <w:webHidden/>
              </w:rPr>
              <w:fldChar w:fldCharType="separate"/>
            </w:r>
            <w:r w:rsidR="00F41F0C">
              <w:rPr>
                <w:noProof/>
                <w:webHidden/>
              </w:rPr>
              <w:t>9</w:t>
            </w:r>
            <w:r w:rsidR="00F41F0C">
              <w:rPr>
                <w:noProof/>
                <w:webHidden/>
              </w:rPr>
              <w:fldChar w:fldCharType="end"/>
            </w:r>
          </w:hyperlink>
        </w:p>
        <w:p w:rsidR="0046491C" w:rsidRPr="0001046D" w:rsidRDefault="0046491C" w:rsidP="00E47A30">
          <w:pPr>
            <w:spacing w:line="600" w:lineRule="auto"/>
            <w:rPr>
              <w:rFonts w:ascii="Palatino Linotype" w:hAnsi="Palatino Linotype"/>
            </w:rPr>
          </w:pPr>
          <w:r w:rsidRPr="0001046D">
            <w:rPr>
              <w:rFonts w:ascii="Palatino Linotype" w:hAnsi="Palatino Linotype"/>
              <w:b/>
              <w:bCs/>
              <w:lang w:val="es-ES"/>
            </w:rPr>
            <w:fldChar w:fldCharType="end"/>
          </w:r>
        </w:p>
      </w:sdtContent>
    </w:sdt>
    <w:p w:rsidR="0046491C" w:rsidRDefault="0046491C" w:rsidP="00805837">
      <w:pPr>
        <w:pStyle w:val="Ttulo1"/>
        <w:numPr>
          <w:ilvl w:val="0"/>
          <w:numId w:val="12"/>
        </w:numPr>
        <w:spacing w:line="360" w:lineRule="auto"/>
        <w:ind w:left="0" w:firstLine="0"/>
        <w:rPr>
          <w:rFonts w:ascii="Palatino Linotype" w:hAnsi="Palatino Linotype"/>
          <w:b/>
          <w:color w:val="auto"/>
          <w:sz w:val="24"/>
          <w:szCs w:val="24"/>
        </w:rPr>
      </w:pPr>
      <w:bookmarkStart w:id="0" w:name="_Toc8674086"/>
      <w:r w:rsidRPr="0001046D">
        <w:rPr>
          <w:rFonts w:ascii="Palatino Linotype" w:hAnsi="Palatino Linotype"/>
          <w:b/>
          <w:color w:val="auto"/>
          <w:sz w:val="24"/>
          <w:szCs w:val="24"/>
        </w:rPr>
        <w:t>Consideraciones Generales.</w:t>
      </w:r>
      <w:bookmarkEnd w:id="0"/>
    </w:p>
    <w:p w:rsidR="00A93705" w:rsidRPr="00A93705" w:rsidRDefault="00A93705" w:rsidP="00A93705"/>
    <w:p w:rsidR="0046491C" w:rsidRPr="00C4038B" w:rsidRDefault="0046491C" w:rsidP="00C4038B">
      <w:pPr>
        <w:pStyle w:val="Prrafodelista"/>
        <w:numPr>
          <w:ilvl w:val="0"/>
          <w:numId w:val="1"/>
        </w:numPr>
        <w:spacing w:after="0" w:line="360" w:lineRule="auto"/>
        <w:ind w:left="0" w:firstLine="0"/>
        <w:jc w:val="both"/>
        <w:rPr>
          <w:rFonts w:ascii="Palatino Linotype" w:hAnsi="Palatino Linotype" w:cs="Arial"/>
          <w:sz w:val="24"/>
          <w:szCs w:val="24"/>
        </w:rPr>
      </w:pPr>
      <w:r w:rsidRPr="00E34F08">
        <w:rPr>
          <w:rFonts w:ascii="Palatino Linotype" w:eastAsia="Times New Roman" w:hAnsi="Palatino Linotype" w:cs="Arial"/>
          <w:sz w:val="24"/>
          <w:szCs w:val="24"/>
          <w:lang w:val="es-ES_tradnl"/>
        </w:rPr>
        <w:t xml:space="preserve">He concurrido con mi </w:t>
      </w:r>
      <w:r w:rsidR="00D33AF9" w:rsidRPr="00E34F08">
        <w:rPr>
          <w:rFonts w:ascii="Palatino Linotype" w:eastAsia="Times New Roman" w:hAnsi="Palatino Linotype" w:cs="Arial"/>
          <w:sz w:val="24"/>
          <w:szCs w:val="24"/>
          <w:lang w:val="es-ES_tradnl"/>
        </w:rPr>
        <w:t>voto</w:t>
      </w:r>
      <w:r w:rsidR="00BC36AB">
        <w:rPr>
          <w:rFonts w:ascii="Palatino Linotype" w:eastAsia="Times New Roman" w:hAnsi="Palatino Linotype" w:cs="Arial"/>
          <w:sz w:val="24"/>
          <w:szCs w:val="24"/>
          <w:lang w:val="es-ES_tradnl"/>
        </w:rPr>
        <w:t xml:space="preserve"> particular en</w:t>
      </w:r>
      <w:r w:rsidRPr="00E34F08">
        <w:rPr>
          <w:rFonts w:ascii="Palatino Linotype" w:eastAsia="Times New Roman" w:hAnsi="Palatino Linotype" w:cs="Arial"/>
          <w:sz w:val="24"/>
          <w:szCs w:val="24"/>
          <w:lang w:val="es-ES_tradnl"/>
        </w:rPr>
        <w:t xml:space="preserve"> la presente resolución emitida </w:t>
      </w:r>
      <w:r w:rsidRPr="00E34F08">
        <w:rPr>
          <w:rFonts w:ascii="Palatino Linotype" w:hAnsi="Palatino Linotype" w:cs="Arial"/>
          <w:sz w:val="24"/>
          <w:szCs w:val="24"/>
        </w:rPr>
        <w:t>por el Pleno del Instituto de Transparencia, Acceso a la Información Pública y Protección de Datos Personales del Estado de Méxi</w:t>
      </w:r>
      <w:r w:rsidR="002C1F75" w:rsidRPr="00E34F08">
        <w:rPr>
          <w:rFonts w:ascii="Palatino Linotype" w:hAnsi="Palatino Linotype" w:cs="Arial"/>
          <w:sz w:val="24"/>
          <w:szCs w:val="24"/>
        </w:rPr>
        <w:t>co y Municipios, en su</w:t>
      </w:r>
      <w:r w:rsidR="00F41F0C">
        <w:rPr>
          <w:rFonts w:ascii="Palatino Linotype" w:hAnsi="Palatino Linotype" w:cs="Arial"/>
          <w:sz w:val="24"/>
          <w:szCs w:val="24"/>
        </w:rPr>
        <w:t xml:space="preserve"> Décimo</w:t>
      </w:r>
      <w:r w:rsidR="00CF0E21">
        <w:rPr>
          <w:rFonts w:ascii="Palatino Linotype" w:hAnsi="Palatino Linotype" w:cs="Arial"/>
          <w:sz w:val="24"/>
          <w:szCs w:val="24"/>
        </w:rPr>
        <w:t xml:space="preserve"> </w:t>
      </w:r>
      <w:r w:rsidR="00A93705">
        <w:rPr>
          <w:rFonts w:ascii="Palatino Linotype" w:hAnsi="Palatino Linotype" w:cs="Arial"/>
          <w:sz w:val="24"/>
          <w:szCs w:val="24"/>
        </w:rPr>
        <w:t>Séptima</w:t>
      </w:r>
      <w:r w:rsidR="00C4038B">
        <w:rPr>
          <w:rFonts w:ascii="Palatino Linotype" w:hAnsi="Palatino Linotype" w:cs="Arial"/>
          <w:sz w:val="24"/>
          <w:szCs w:val="24"/>
        </w:rPr>
        <w:t xml:space="preserve"> </w:t>
      </w:r>
      <w:r w:rsidR="003837C2">
        <w:rPr>
          <w:rFonts w:ascii="Palatino Linotype" w:hAnsi="Palatino Linotype" w:cs="Arial"/>
          <w:sz w:val="24"/>
          <w:szCs w:val="24"/>
        </w:rPr>
        <w:t>Sesión O</w:t>
      </w:r>
      <w:r w:rsidRPr="00E34F08">
        <w:rPr>
          <w:rFonts w:ascii="Palatino Linotype" w:hAnsi="Palatino Linotype" w:cs="Arial"/>
          <w:sz w:val="24"/>
          <w:szCs w:val="24"/>
        </w:rPr>
        <w:t>rdinaria de</w:t>
      </w:r>
      <w:r w:rsidR="00A93705">
        <w:rPr>
          <w:rFonts w:ascii="Palatino Linotype" w:hAnsi="Palatino Linotype" w:cs="Arial"/>
          <w:sz w:val="24"/>
          <w:szCs w:val="24"/>
        </w:rPr>
        <w:t xml:space="preserve"> fecha nueve</w:t>
      </w:r>
      <w:r w:rsidR="00CF0E21">
        <w:rPr>
          <w:rFonts w:ascii="Palatino Linotype" w:hAnsi="Palatino Linotype" w:cs="Arial"/>
          <w:sz w:val="24"/>
          <w:szCs w:val="24"/>
        </w:rPr>
        <w:t xml:space="preserve"> </w:t>
      </w:r>
      <w:r w:rsidRPr="00E34F08">
        <w:rPr>
          <w:rFonts w:ascii="Palatino Linotype" w:hAnsi="Palatino Linotype" w:cs="Arial"/>
          <w:sz w:val="24"/>
          <w:szCs w:val="24"/>
        </w:rPr>
        <w:t>(</w:t>
      </w:r>
      <w:r w:rsidR="00A93705">
        <w:rPr>
          <w:rFonts w:ascii="Palatino Linotype" w:hAnsi="Palatino Linotype" w:cs="Arial"/>
          <w:sz w:val="24"/>
          <w:szCs w:val="24"/>
        </w:rPr>
        <w:t>09</w:t>
      </w:r>
      <w:r w:rsidR="00225026" w:rsidRPr="00E34F08">
        <w:rPr>
          <w:rFonts w:ascii="Palatino Linotype" w:hAnsi="Palatino Linotype" w:cs="Arial"/>
          <w:sz w:val="24"/>
          <w:szCs w:val="24"/>
        </w:rPr>
        <w:t>) de</w:t>
      </w:r>
      <w:r w:rsidR="00A93705">
        <w:rPr>
          <w:rFonts w:ascii="Palatino Linotype" w:hAnsi="Palatino Linotype" w:cs="Arial"/>
          <w:sz w:val="24"/>
          <w:szCs w:val="24"/>
        </w:rPr>
        <w:t xml:space="preserve"> may</w:t>
      </w:r>
      <w:r w:rsidR="00C4038B">
        <w:rPr>
          <w:rFonts w:ascii="Palatino Linotype" w:hAnsi="Palatino Linotype" w:cs="Arial"/>
          <w:sz w:val="24"/>
          <w:szCs w:val="24"/>
        </w:rPr>
        <w:t>o de dos mil diecinueve,</w:t>
      </w:r>
      <w:r w:rsidRPr="00E34F08">
        <w:rPr>
          <w:rFonts w:ascii="Palatino Linotype" w:hAnsi="Palatino Linotype" w:cs="Arial"/>
          <w:sz w:val="24"/>
          <w:szCs w:val="24"/>
        </w:rPr>
        <w:t xml:space="preserve"> en el recurso</w:t>
      </w:r>
      <w:r w:rsidR="002C1F75" w:rsidRPr="00E34F08">
        <w:rPr>
          <w:rFonts w:ascii="Palatino Linotype" w:hAnsi="Palatino Linotype" w:cs="Arial"/>
          <w:sz w:val="24"/>
          <w:szCs w:val="24"/>
        </w:rPr>
        <w:t xml:space="preserve"> de revisión promovido</w:t>
      </w:r>
      <w:r w:rsidR="00C4038B">
        <w:rPr>
          <w:rFonts w:ascii="Palatino Linotype" w:hAnsi="Palatino Linotype" w:cs="Arial"/>
          <w:b/>
          <w:sz w:val="24"/>
          <w:szCs w:val="24"/>
        </w:rPr>
        <w:t xml:space="preserve"> </w:t>
      </w:r>
      <w:r w:rsidRPr="00C4038B">
        <w:rPr>
          <w:rFonts w:ascii="Palatino Linotype" w:hAnsi="Palatino Linotype" w:cs="Arial"/>
          <w:sz w:val="24"/>
          <w:szCs w:val="24"/>
        </w:rPr>
        <w:t>en contra de la</w:t>
      </w:r>
      <w:r w:rsidR="00902248" w:rsidRPr="00C4038B">
        <w:rPr>
          <w:rFonts w:ascii="Palatino Linotype" w:hAnsi="Palatino Linotype" w:cs="Arial"/>
          <w:sz w:val="24"/>
          <w:szCs w:val="24"/>
        </w:rPr>
        <w:t>s</w:t>
      </w:r>
      <w:r w:rsidR="00FC4635">
        <w:rPr>
          <w:rFonts w:ascii="Palatino Linotype" w:hAnsi="Palatino Linotype" w:cs="Arial"/>
          <w:sz w:val="24"/>
          <w:szCs w:val="24"/>
        </w:rPr>
        <w:t xml:space="preserve"> respuesta del </w:t>
      </w:r>
      <w:r w:rsidR="00FC4635">
        <w:rPr>
          <w:rFonts w:ascii="Palatino Linotype" w:hAnsi="Palatino Linotype" w:cs="Arial"/>
          <w:b/>
          <w:sz w:val="24"/>
          <w:szCs w:val="24"/>
        </w:rPr>
        <w:t>Ayuntamiento de</w:t>
      </w:r>
      <w:r w:rsidR="00A93705">
        <w:rPr>
          <w:rFonts w:ascii="Palatino Linotype" w:hAnsi="Palatino Linotype" w:cs="Arial"/>
          <w:b/>
          <w:sz w:val="24"/>
          <w:szCs w:val="24"/>
        </w:rPr>
        <w:t xml:space="preserve"> Metepec</w:t>
      </w:r>
      <w:r w:rsidRPr="00C4038B">
        <w:rPr>
          <w:rFonts w:ascii="Palatino Linotype" w:hAnsi="Palatino Linotype" w:cs="Arial"/>
          <w:sz w:val="24"/>
          <w:szCs w:val="24"/>
        </w:rPr>
        <w:t>, procedimiento a</w:t>
      </w:r>
      <w:r w:rsidR="0000525F" w:rsidRPr="00C4038B">
        <w:rPr>
          <w:rFonts w:ascii="Palatino Linotype" w:hAnsi="Palatino Linotype" w:cs="Arial"/>
          <w:sz w:val="24"/>
          <w:szCs w:val="24"/>
        </w:rPr>
        <w:t>l</w:t>
      </w:r>
      <w:r w:rsidR="00902248" w:rsidRPr="00C4038B">
        <w:rPr>
          <w:rFonts w:ascii="Palatino Linotype" w:hAnsi="Palatino Linotype" w:cs="Arial"/>
          <w:sz w:val="24"/>
          <w:szCs w:val="24"/>
        </w:rPr>
        <w:t xml:space="preserve"> que se le asignó </w:t>
      </w:r>
      <w:r w:rsidR="0000525F" w:rsidRPr="00C4038B">
        <w:rPr>
          <w:rFonts w:ascii="Palatino Linotype" w:hAnsi="Palatino Linotype" w:cs="Arial"/>
          <w:sz w:val="24"/>
          <w:szCs w:val="24"/>
        </w:rPr>
        <w:t>el</w:t>
      </w:r>
      <w:r w:rsidRPr="00C4038B">
        <w:rPr>
          <w:rFonts w:ascii="Palatino Linotype" w:hAnsi="Palatino Linotype" w:cs="Arial"/>
          <w:sz w:val="24"/>
          <w:szCs w:val="24"/>
        </w:rPr>
        <w:t xml:space="preserve"> número de expediente </w:t>
      </w:r>
      <w:r w:rsidR="00C4038B">
        <w:rPr>
          <w:rFonts w:ascii="Palatino Linotype" w:eastAsia="Times New Roman" w:hAnsi="Palatino Linotype" w:cs="Arial"/>
          <w:bCs/>
          <w:sz w:val="24"/>
          <w:szCs w:val="24"/>
          <w:lang w:eastAsia="es-ES"/>
        </w:rPr>
        <w:t xml:space="preserve">al rubro indicado. </w:t>
      </w:r>
    </w:p>
    <w:p w:rsidR="0000525F" w:rsidRPr="0001046D" w:rsidRDefault="0000525F" w:rsidP="00E34F08">
      <w:pPr>
        <w:pStyle w:val="Prrafodelista"/>
        <w:spacing w:after="0" w:line="360" w:lineRule="auto"/>
        <w:ind w:left="426"/>
        <w:jc w:val="both"/>
        <w:rPr>
          <w:rFonts w:ascii="Palatino Linotype" w:hAnsi="Palatino Linotype" w:cs="Arial"/>
          <w:sz w:val="24"/>
          <w:szCs w:val="24"/>
        </w:rPr>
      </w:pPr>
    </w:p>
    <w:p w:rsidR="00EA2C08" w:rsidRDefault="0046491C" w:rsidP="00BC36AB">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Resultan</w:t>
      </w:r>
      <w:r w:rsidR="00FC4635">
        <w:rPr>
          <w:rFonts w:ascii="Palatino Linotype" w:hAnsi="Palatino Linotype" w:cs="Arial"/>
          <w:sz w:val="24"/>
          <w:szCs w:val="24"/>
        </w:rPr>
        <w:t xml:space="preserve"> fundados</w:t>
      </w:r>
      <w:r w:rsidR="003837C2">
        <w:rPr>
          <w:rFonts w:ascii="Palatino Linotype" w:hAnsi="Palatino Linotype" w:cs="Arial"/>
          <w:sz w:val="24"/>
          <w:szCs w:val="24"/>
        </w:rPr>
        <w:t xml:space="preserve"> </w:t>
      </w:r>
      <w:r w:rsidR="0000525F" w:rsidRPr="0001046D">
        <w:rPr>
          <w:rFonts w:ascii="Palatino Linotype" w:hAnsi="Palatino Linotype" w:cs="Arial"/>
          <w:sz w:val="24"/>
          <w:szCs w:val="24"/>
        </w:rPr>
        <w:t>los</w:t>
      </w:r>
      <w:r w:rsidRPr="0001046D">
        <w:rPr>
          <w:rFonts w:ascii="Palatino Linotype" w:hAnsi="Palatino Linotype" w:cs="Arial"/>
          <w:sz w:val="24"/>
          <w:szCs w:val="24"/>
        </w:rPr>
        <w:t xml:space="preserve"> motivos de inconformidad </w:t>
      </w:r>
      <w:r w:rsidR="0000525F" w:rsidRPr="0001046D">
        <w:rPr>
          <w:rFonts w:ascii="Palatino Linotype" w:hAnsi="Palatino Linotype" w:cs="Arial"/>
          <w:sz w:val="24"/>
          <w:szCs w:val="24"/>
        </w:rPr>
        <w:t xml:space="preserve">que arguye </w:t>
      </w:r>
      <w:r w:rsidR="00FC4635">
        <w:rPr>
          <w:rFonts w:ascii="Palatino Linotype" w:hAnsi="Palatino Linotype" w:cs="Arial"/>
          <w:b/>
          <w:sz w:val="24"/>
          <w:szCs w:val="24"/>
        </w:rPr>
        <w:t xml:space="preserve">la </w:t>
      </w:r>
      <w:r w:rsidR="00E90EB5" w:rsidRPr="0001046D">
        <w:rPr>
          <w:rFonts w:ascii="Palatino Linotype" w:hAnsi="Palatino Linotype" w:cs="Arial"/>
          <w:b/>
          <w:sz w:val="24"/>
          <w:szCs w:val="24"/>
        </w:rPr>
        <w:t>recurrente</w:t>
      </w:r>
      <w:r w:rsidRPr="0001046D">
        <w:rPr>
          <w:rFonts w:ascii="Palatino Linotype" w:hAnsi="Palatino Linotype" w:cs="Arial"/>
          <w:sz w:val="24"/>
          <w:szCs w:val="24"/>
        </w:rPr>
        <w:t>, en</w:t>
      </w:r>
      <w:r w:rsidR="00AA49F3" w:rsidRPr="0001046D">
        <w:rPr>
          <w:rFonts w:ascii="Palatino Linotype" w:hAnsi="Palatino Linotype" w:cs="Arial"/>
          <w:sz w:val="24"/>
          <w:szCs w:val="24"/>
        </w:rPr>
        <w:t xml:space="preserve"> términos del Considerando </w:t>
      </w:r>
      <w:r w:rsidR="00BC36AB">
        <w:rPr>
          <w:rFonts w:ascii="Palatino Linotype" w:hAnsi="Palatino Linotype" w:cs="Arial"/>
          <w:sz w:val="24"/>
          <w:szCs w:val="24"/>
        </w:rPr>
        <w:t>Quito</w:t>
      </w:r>
      <w:r w:rsidR="00CF0E21">
        <w:rPr>
          <w:rFonts w:ascii="Palatino Linotype" w:hAnsi="Palatino Linotype" w:cs="Arial"/>
          <w:sz w:val="24"/>
          <w:szCs w:val="24"/>
        </w:rPr>
        <w:t xml:space="preserve"> </w:t>
      </w:r>
      <w:r w:rsidR="00BF3534" w:rsidRPr="0001046D">
        <w:rPr>
          <w:rFonts w:ascii="Palatino Linotype" w:hAnsi="Palatino Linotype" w:cs="Arial"/>
          <w:sz w:val="24"/>
          <w:szCs w:val="24"/>
        </w:rPr>
        <w:t>de la resolución por lo que la pon</w:t>
      </w:r>
      <w:r w:rsidR="00424DE3">
        <w:rPr>
          <w:rFonts w:ascii="Palatino Linotype" w:hAnsi="Palatino Linotype" w:cs="Arial"/>
          <w:sz w:val="24"/>
          <w:szCs w:val="24"/>
        </w:rPr>
        <w:t>encia encargada consideró</w:t>
      </w:r>
      <w:r w:rsidR="00CF0E21">
        <w:rPr>
          <w:rFonts w:ascii="Palatino Linotype" w:hAnsi="Palatino Linotype" w:cs="Arial"/>
          <w:sz w:val="24"/>
          <w:szCs w:val="24"/>
        </w:rPr>
        <w:t xml:space="preserve"> </w:t>
      </w:r>
      <w:r w:rsidR="00FC4635">
        <w:rPr>
          <w:rFonts w:ascii="Palatino Linotype" w:hAnsi="Palatino Linotype" w:cs="Arial"/>
          <w:sz w:val="24"/>
          <w:szCs w:val="24"/>
        </w:rPr>
        <w:t xml:space="preserve">modificar </w:t>
      </w:r>
      <w:r w:rsidR="008E1DCC">
        <w:rPr>
          <w:rFonts w:ascii="Palatino Linotype" w:hAnsi="Palatino Linotype" w:cs="Arial"/>
          <w:sz w:val="24"/>
          <w:szCs w:val="24"/>
        </w:rPr>
        <w:t>l</w:t>
      </w:r>
      <w:r w:rsidR="003837C2">
        <w:rPr>
          <w:rFonts w:ascii="Palatino Linotype" w:hAnsi="Palatino Linotype" w:cs="Arial"/>
          <w:sz w:val="24"/>
          <w:szCs w:val="24"/>
        </w:rPr>
        <w:t xml:space="preserve">a respuesta del Sujeto Obligado, </w:t>
      </w:r>
      <w:r w:rsidR="00CF0E21">
        <w:rPr>
          <w:rFonts w:ascii="Palatino Linotype" w:hAnsi="Palatino Linotype" w:cs="Arial"/>
          <w:sz w:val="24"/>
          <w:szCs w:val="24"/>
        </w:rPr>
        <w:t xml:space="preserve">en ese sentido </w:t>
      </w:r>
      <w:r w:rsidR="003837C2">
        <w:rPr>
          <w:rFonts w:ascii="Palatino Linotype" w:hAnsi="Palatino Linotype" w:cs="Arial"/>
          <w:sz w:val="24"/>
          <w:szCs w:val="24"/>
        </w:rPr>
        <w:t>m</w:t>
      </w:r>
      <w:r w:rsidRPr="003837C2">
        <w:rPr>
          <w:rFonts w:ascii="Palatino Linotype" w:hAnsi="Palatino Linotype" w:cs="Arial"/>
          <w:sz w:val="24"/>
          <w:szCs w:val="24"/>
        </w:rPr>
        <w:t xml:space="preserve">i </w:t>
      </w:r>
      <w:r w:rsidR="00D33AF9" w:rsidRPr="003837C2">
        <w:rPr>
          <w:rFonts w:ascii="Palatino Linotype" w:hAnsi="Palatino Linotype" w:cs="Arial"/>
          <w:sz w:val="24"/>
          <w:szCs w:val="24"/>
        </w:rPr>
        <w:t>voto</w:t>
      </w:r>
      <w:r w:rsidRPr="003837C2">
        <w:rPr>
          <w:rFonts w:ascii="Palatino Linotype" w:hAnsi="Palatino Linotype" w:cs="Arial"/>
          <w:sz w:val="24"/>
          <w:szCs w:val="24"/>
        </w:rPr>
        <w:t xml:space="preserve"> particular se deriva del hecho de que se haya invocado la figura de actos consentidos en el presente asunto, resultando del todo innecesario hacer referencia </w:t>
      </w:r>
      <w:r w:rsidRPr="003837C2">
        <w:rPr>
          <w:rFonts w:ascii="Palatino Linotype" w:hAnsi="Palatino Linotype" w:cs="Arial"/>
          <w:sz w:val="24"/>
          <w:szCs w:val="24"/>
        </w:rPr>
        <w:lastRenderedPageBreak/>
        <w:t>a dicha figura, lo cual he manifestado en diversas ocasiones señalando que no deben invocarse en el derecho de acceso a la información pública.</w:t>
      </w:r>
    </w:p>
    <w:p w:rsidR="00BC36AB" w:rsidRPr="00BC36AB" w:rsidRDefault="00BC36AB" w:rsidP="00BC36AB">
      <w:pPr>
        <w:pStyle w:val="Prrafodelista"/>
        <w:spacing w:before="240" w:after="240" w:line="360" w:lineRule="auto"/>
        <w:ind w:left="0" w:right="49"/>
        <w:jc w:val="both"/>
        <w:rPr>
          <w:rFonts w:ascii="Palatino Linotype" w:hAnsi="Palatino Linotype" w:cs="Arial"/>
          <w:sz w:val="24"/>
          <w:szCs w:val="24"/>
        </w:rPr>
      </w:pPr>
    </w:p>
    <w:p w:rsidR="0046491C" w:rsidRDefault="0046491C" w:rsidP="00EA2C08">
      <w:pPr>
        <w:pStyle w:val="Prrafodelista"/>
        <w:numPr>
          <w:ilvl w:val="0"/>
          <w:numId w:val="1"/>
        </w:numPr>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tal motivo y en términos de lo señalado por los artículos </w:t>
      </w:r>
      <w:r w:rsidR="00AA49F3" w:rsidRPr="0001046D">
        <w:rPr>
          <w:rFonts w:ascii="Palatino Linotype" w:hAnsi="Palatino Linotype" w:cs="Arial"/>
          <w:sz w:val="24"/>
          <w:szCs w:val="24"/>
        </w:rPr>
        <w:t>14</w:t>
      </w:r>
      <w:r w:rsidRPr="0001046D">
        <w:rPr>
          <w:rFonts w:ascii="Palatino Linotype" w:hAnsi="Palatino Linotype" w:cs="Arial"/>
          <w:sz w:val="24"/>
          <w:szCs w:val="24"/>
        </w:rPr>
        <w:t xml:space="preserve"> fracción </w:t>
      </w:r>
      <w:r w:rsidR="00AA49F3" w:rsidRPr="0001046D">
        <w:rPr>
          <w:rFonts w:ascii="Palatino Linotype" w:hAnsi="Palatino Linotype" w:cs="Arial"/>
          <w:sz w:val="24"/>
          <w:szCs w:val="24"/>
        </w:rPr>
        <w:t>XI</w:t>
      </w:r>
      <w:r w:rsidRPr="0001046D">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01046D" w:rsidRDefault="0001046D" w:rsidP="00E34F08">
      <w:pPr>
        <w:pStyle w:val="Prrafodelista"/>
        <w:rPr>
          <w:rFonts w:ascii="Palatino Linotype" w:hAnsi="Palatino Linotype" w:cs="Arial"/>
          <w:sz w:val="24"/>
          <w:szCs w:val="24"/>
        </w:rPr>
      </w:pPr>
    </w:p>
    <w:p w:rsidR="0046491C" w:rsidRDefault="0046491C" w:rsidP="00805837">
      <w:pPr>
        <w:pStyle w:val="Ttulo1"/>
        <w:numPr>
          <w:ilvl w:val="0"/>
          <w:numId w:val="12"/>
        </w:numPr>
        <w:spacing w:line="360" w:lineRule="auto"/>
        <w:ind w:left="0" w:firstLine="0"/>
        <w:rPr>
          <w:rFonts w:ascii="Palatino Linotype" w:hAnsi="Palatino Linotype"/>
          <w:b/>
          <w:color w:val="auto"/>
          <w:sz w:val="24"/>
          <w:szCs w:val="24"/>
        </w:rPr>
      </w:pPr>
      <w:bookmarkStart w:id="1" w:name="_Toc8674087"/>
      <w:r w:rsidRPr="0001046D">
        <w:rPr>
          <w:rFonts w:ascii="Palatino Linotype" w:hAnsi="Palatino Linotype"/>
          <w:b/>
          <w:color w:val="auto"/>
          <w:sz w:val="24"/>
          <w:szCs w:val="24"/>
        </w:rPr>
        <w:t>De los requerimientos planteados en el recurso de revisión.</w:t>
      </w:r>
      <w:bookmarkEnd w:id="1"/>
    </w:p>
    <w:p w:rsidR="00497EB1" w:rsidRPr="00497EB1" w:rsidRDefault="00497EB1" w:rsidP="00497EB1"/>
    <w:p w:rsidR="009B4E7D" w:rsidRPr="009B4E7D" w:rsidRDefault="008E1DCC" w:rsidP="00E35329">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sidRPr="00F25783">
        <w:rPr>
          <w:rFonts w:ascii="Palatino Linotype" w:hAnsi="Palatino Linotype" w:cs="Arial"/>
          <w:sz w:val="24"/>
          <w:szCs w:val="24"/>
        </w:rPr>
        <w:t>El particular</w:t>
      </w:r>
      <w:r w:rsidR="00413496" w:rsidRPr="00F25783">
        <w:rPr>
          <w:rFonts w:ascii="Palatino Linotype" w:hAnsi="Palatino Linotype" w:cs="Arial"/>
          <w:sz w:val="24"/>
          <w:szCs w:val="24"/>
        </w:rPr>
        <w:t xml:space="preserve"> requirió del </w:t>
      </w:r>
      <w:r w:rsidR="00497EB1">
        <w:rPr>
          <w:rFonts w:ascii="Palatino Linotype" w:hAnsi="Palatino Linotype" w:cs="Arial"/>
          <w:b/>
          <w:sz w:val="24"/>
          <w:szCs w:val="24"/>
        </w:rPr>
        <w:t>Ayuntamiento de</w:t>
      </w:r>
      <w:r w:rsidR="00A93705">
        <w:rPr>
          <w:rFonts w:ascii="Palatino Linotype" w:hAnsi="Palatino Linotype" w:cs="Arial"/>
          <w:b/>
          <w:sz w:val="24"/>
          <w:szCs w:val="24"/>
        </w:rPr>
        <w:t xml:space="preserve"> Metepec </w:t>
      </w:r>
      <w:r w:rsidR="003837C2">
        <w:rPr>
          <w:rFonts w:ascii="Palatino Linotype" w:hAnsi="Palatino Linotype" w:cs="Arial"/>
          <w:sz w:val="24"/>
          <w:szCs w:val="24"/>
        </w:rPr>
        <w:t xml:space="preserve">lo </w:t>
      </w:r>
      <w:r w:rsidR="00F25783" w:rsidRPr="00F25783">
        <w:rPr>
          <w:rFonts w:ascii="Palatino Linotype" w:hAnsi="Palatino Linotype" w:cs="Arial"/>
          <w:sz w:val="24"/>
          <w:szCs w:val="24"/>
        </w:rPr>
        <w:t xml:space="preserve">siguiente: </w:t>
      </w:r>
      <w:r w:rsidR="00413496" w:rsidRPr="00F25783">
        <w:rPr>
          <w:rFonts w:ascii="Palatino Linotype" w:hAnsi="Palatino Linotype" w:cs="Arial"/>
          <w:b/>
          <w:sz w:val="24"/>
          <w:szCs w:val="24"/>
        </w:rPr>
        <w:t xml:space="preserve"> </w:t>
      </w:r>
    </w:p>
    <w:p w:rsidR="00AE4797" w:rsidRPr="009B4E7D" w:rsidRDefault="0046491C" w:rsidP="009B4E7D">
      <w:pPr>
        <w:pStyle w:val="Prrafodelista"/>
        <w:spacing w:after="0" w:line="360" w:lineRule="auto"/>
        <w:ind w:left="360"/>
        <w:jc w:val="both"/>
        <w:rPr>
          <w:rFonts w:ascii="Palatino Linotype" w:eastAsia="Times New Roman" w:hAnsi="Palatino Linotype" w:cs="Times New Roman"/>
          <w:i/>
          <w:sz w:val="24"/>
          <w:szCs w:val="24"/>
          <w:lang w:val="es-ES_tradnl" w:eastAsia="es-ES"/>
        </w:rPr>
      </w:pPr>
      <w:r w:rsidRPr="00F25783">
        <w:rPr>
          <w:rFonts w:ascii="Palatino Linotype" w:hAnsi="Palatino Linotype" w:cs="Arial"/>
          <w:sz w:val="24"/>
          <w:szCs w:val="24"/>
        </w:rPr>
        <w:t xml:space="preserve"> </w:t>
      </w:r>
    </w:p>
    <w:p w:rsidR="00A93705" w:rsidRPr="00A93705" w:rsidRDefault="00A93705" w:rsidP="00031F7F">
      <w:pPr>
        <w:spacing w:before="60" w:after="60" w:line="360" w:lineRule="auto"/>
        <w:ind w:left="709" w:right="709"/>
        <w:jc w:val="both"/>
        <w:rPr>
          <w:rFonts w:ascii="Palatino Linotype" w:eastAsia="Times New Roman" w:hAnsi="Palatino Linotype" w:cs="Arial"/>
          <w:i/>
          <w:lang w:eastAsia="es-ES"/>
        </w:rPr>
      </w:pPr>
      <w:r w:rsidRPr="00A93705">
        <w:rPr>
          <w:rFonts w:ascii="Palatino Linotype" w:eastAsia="Times New Roman" w:hAnsi="Palatino Linotype" w:cs="Arial"/>
          <w:i/>
          <w:lang w:eastAsia="es-ES"/>
        </w:rPr>
        <w:t xml:space="preserve">“Monto total pagado por el cambio de imagen institucional a inmuebles municipales y parque vehicular. </w:t>
      </w:r>
      <w:proofErr w:type="gramStart"/>
      <w:r w:rsidRPr="00A93705">
        <w:rPr>
          <w:rFonts w:ascii="Palatino Linotype" w:eastAsia="Times New Roman" w:hAnsi="Palatino Linotype" w:cs="Arial"/>
          <w:i/>
          <w:lang w:eastAsia="es-ES"/>
        </w:rPr>
        <w:t>cuantos</w:t>
      </w:r>
      <w:proofErr w:type="gramEnd"/>
      <w:r w:rsidRPr="00A93705">
        <w:rPr>
          <w:rFonts w:ascii="Palatino Linotype" w:eastAsia="Times New Roman" w:hAnsi="Palatino Linotype" w:cs="Arial"/>
          <w:i/>
          <w:lang w:eastAsia="es-ES"/>
        </w:rPr>
        <w:t xml:space="preserve"> inmuebles y total del parque vehicular que se </w:t>
      </w:r>
      <w:proofErr w:type="spellStart"/>
      <w:r w:rsidRPr="00A93705">
        <w:rPr>
          <w:rFonts w:ascii="Palatino Linotype" w:eastAsia="Times New Roman" w:hAnsi="Palatino Linotype" w:cs="Arial"/>
          <w:i/>
          <w:lang w:eastAsia="es-ES"/>
        </w:rPr>
        <w:t>cambio</w:t>
      </w:r>
      <w:proofErr w:type="spellEnd"/>
      <w:r w:rsidRPr="00A93705">
        <w:rPr>
          <w:rFonts w:ascii="Palatino Linotype" w:eastAsia="Times New Roman" w:hAnsi="Palatino Linotype" w:cs="Arial"/>
          <w:i/>
          <w:lang w:eastAsia="es-ES"/>
        </w:rPr>
        <w:t xml:space="preserve"> la imagen institucional de la nueva administración. Incluyendo </w:t>
      </w:r>
      <w:proofErr w:type="spellStart"/>
      <w:r w:rsidRPr="00A93705">
        <w:rPr>
          <w:rFonts w:ascii="Palatino Linotype" w:eastAsia="Times New Roman" w:hAnsi="Palatino Linotype" w:cs="Arial"/>
          <w:i/>
          <w:lang w:eastAsia="es-ES"/>
        </w:rPr>
        <w:t>automoviles</w:t>
      </w:r>
      <w:proofErr w:type="spellEnd"/>
      <w:r w:rsidRPr="00A93705">
        <w:rPr>
          <w:rFonts w:ascii="Palatino Linotype" w:eastAsia="Times New Roman" w:hAnsi="Palatino Linotype" w:cs="Arial"/>
          <w:i/>
          <w:lang w:eastAsia="es-ES"/>
        </w:rPr>
        <w:t xml:space="preserve"> de los organismos descentralizados e inmuebles de los organismos.</w:t>
      </w:r>
    </w:p>
    <w:p w:rsidR="00A93705" w:rsidRPr="00A93705" w:rsidRDefault="00A93705" w:rsidP="00031F7F">
      <w:pPr>
        <w:spacing w:before="60" w:after="60" w:line="360" w:lineRule="auto"/>
        <w:ind w:left="709" w:right="709"/>
        <w:jc w:val="both"/>
        <w:rPr>
          <w:rFonts w:ascii="Palatino Linotype" w:eastAsia="Times New Roman" w:hAnsi="Palatino Linotype" w:cs="Arial"/>
          <w:i/>
          <w:lang w:eastAsia="es-ES"/>
        </w:rPr>
      </w:pPr>
      <w:r w:rsidRPr="00A93705">
        <w:rPr>
          <w:rFonts w:ascii="Palatino Linotype" w:eastAsia="Times New Roman" w:hAnsi="Palatino Linotype" w:cs="Arial"/>
          <w:i/>
          <w:lang w:eastAsia="es-ES"/>
        </w:rPr>
        <w:t xml:space="preserve">Monto de la nómina que se </w:t>
      </w:r>
      <w:proofErr w:type="spellStart"/>
      <w:r w:rsidRPr="00A93705">
        <w:rPr>
          <w:rFonts w:ascii="Palatino Linotype" w:eastAsia="Times New Roman" w:hAnsi="Palatino Linotype" w:cs="Arial"/>
          <w:i/>
          <w:lang w:eastAsia="es-ES"/>
        </w:rPr>
        <w:t>pago</w:t>
      </w:r>
      <w:proofErr w:type="spellEnd"/>
      <w:r w:rsidRPr="00A93705">
        <w:rPr>
          <w:rFonts w:ascii="Palatino Linotype" w:eastAsia="Times New Roman" w:hAnsi="Palatino Linotype" w:cs="Arial"/>
          <w:i/>
          <w:lang w:eastAsia="es-ES"/>
        </w:rPr>
        <w:t xml:space="preserve"> en la primera quincena a todo el personal municipal y a cuantos servidores públicos se les pago y a cuantos no.</w:t>
      </w:r>
    </w:p>
    <w:p w:rsidR="00A93705" w:rsidRPr="00A93705" w:rsidRDefault="00A93705" w:rsidP="00031F7F">
      <w:pPr>
        <w:spacing w:before="60" w:after="60" w:line="360" w:lineRule="auto"/>
        <w:ind w:left="709" w:right="709"/>
        <w:jc w:val="both"/>
        <w:rPr>
          <w:rFonts w:ascii="Palatino Linotype" w:eastAsia="Times New Roman" w:hAnsi="Palatino Linotype" w:cs="Times New Roman"/>
          <w:lang w:eastAsia="es-ES"/>
        </w:rPr>
      </w:pPr>
      <w:r w:rsidRPr="00A93705">
        <w:rPr>
          <w:rFonts w:ascii="Palatino Linotype" w:eastAsia="Times New Roman" w:hAnsi="Palatino Linotype" w:cs="Arial"/>
          <w:i/>
          <w:lang w:eastAsia="es-ES"/>
        </w:rPr>
        <w:t xml:space="preserve">Monto por la adquisición de las 25 unidades recolectoras de residuos sólidos, mecanismo de compra, tipo de adjudicación y persona física o moral con la que se adquirió estas 25 unidades.” </w:t>
      </w:r>
      <w:r w:rsidRPr="00A93705">
        <w:rPr>
          <w:rFonts w:ascii="Palatino Linotype" w:eastAsia="Times New Roman" w:hAnsi="Palatino Linotype" w:cs="Times New Roman"/>
          <w:lang w:eastAsia="es-ES"/>
        </w:rPr>
        <w:t>(Sic).</w:t>
      </w:r>
    </w:p>
    <w:p w:rsidR="009B4E7D" w:rsidRPr="00E35329" w:rsidRDefault="009B4E7D" w:rsidP="00E35329">
      <w:pPr>
        <w:spacing w:after="0" w:line="360" w:lineRule="auto"/>
        <w:jc w:val="both"/>
        <w:rPr>
          <w:rFonts w:ascii="Palatino Linotype" w:eastAsia="Times New Roman" w:hAnsi="Palatino Linotype" w:cs="Times New Roman"/>
          <w:i/>
          <w:sz w:val="24"/>
          <w:szCs w:val="24"/>
          <w:lang w:val="es-ES_tradnl" w:eastAsia="es-ES"/>
        </w:rPr>
      </w:pPr>
    </w:p>
    <w:p w:rsidR="009B4E7D" w:rsidRPr="00031F7F" w:rsidRDefault="00AE4797" w:rsidP="00031F7F">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 xml:space="preserve">El Sujeto Obligado </w:t>
      </w:r>
      <w:r w:rsidR="00444048">
        <w:rPr>
          <w:rFonts w:ascii="Palatino Linotype" w:hAnsi="Palatino Linotype" w:cs="Arial"/>
          <w:sz w:val="24"/>
          <w:szCs w:val="24"/>
        </w:rPr>
        <w:t>mediante</w:t>
      </w:r>
      <w:r w:rsidR="008D4B3A">
        <w:rPr>
          <w:rFonts w:ascii="Palatino Linotype" w:hAnsi="Palatino Linotype" w:cs="Arial"/>
          <w:sz w:val="24"/>
          <w:szCs w:val="24"/>
        </w:rPr>
        <w:t xml:space="preserve"> su escrito dio respuesta a</w:t>
      </w:r>
      <w:r>
        <w:rPr>
          <w:rFonts w:ascii="Palatino Linotype" w:hAnsi="Palatino Linotype" w:cs="Arial"/>
          <w:sz w:val="24"/>
          <w:szCs w:val="24"/>
        </w:rPr>
        <w:t xml:space="preserve"> </w:t>
      </w:r>
      <w:r w:rsidR="009156AC">
        <w:rPr>
          <w:rFonts w:ascii="Palatino Linotype" w:hAnsi="Palatino Linotype" w:cs="Arial"/>
          <w:sz w:val="24"/>
          <w:szCs w:val="24"/>
        </w:rPr>
        <w:t xml:space="preserve">la </w:t>
      </w:r>
      <w:r>
        <w:rPr>
          <w:rFonts w:ascii="Palatino Linotype" w:hAnsi="Palatino Linotype" w:cs="Arial"/>
          <w:sz w:val="24"/>
          <w:szCs w:val="24"/>
        </w:rPr>
        <w:t>solicitud</w:t>
      </w:r>
      <w:r w:rsidR="009156AC">
        <w:rPr>
          <w:rFonts w:ascii="Palatino Linotype" w:hAnsi="Palatino Linotype" w:cs="Arial"/>
          <w:sz w:val="24"/>
          <w:szCs w:val="24"/>
        </w:rPr>
        <w:t xml:space="preserve"> de información</w:t>
      </w:r>
      <w:r>
        <w:rPr>
          <w:rFonts w:ascii="Palatino Linotype" w:hAnsi="Palatino Linotype" w:cs="Arial"/>
          <w:sz w:val="24"/>
          <w:szCs w:val="24"/>
        </w:rPr>
        <w:t>, de la siguiente manera:</w:t>
      </w:r>
    </w:p>
    <w:p w:rsidR="00031F7F" w:rsidRPr="00031F7F" w:rsidRDefault="009B4E7D" w:rsidP="00031F7F">
      <w:pPr>
        <w:pStyle w:val="Prrafodelista"/>
        <w:spacing w:after="0" w:line="360" w:lineRule="auto"/>
        <w:ind w:left="567" w:right="616"/>
        <w:jc w:val="right"/>
        <w:rPr>
          <w:rFonts w:ascii="Palatino Linotype" w:eastAsia="Times New Roman" w:hAnsi="Palatino Linotype" w:cs="Times New Roman"/>
          <w:i/>
          <w:sz w:val="24"/>
          <w:szCs w:val="24"/>
          <w:lang w:val="es-ES_tradnl" w:eastAsia="es-ES"/>
        </w:rPr>
      </w:pPr>
      <w:r w:rsidRPr="009B4E7D">
        <w:rPr>
          <w:rFonts w:ascii="Palatino Linotype" w:eastAsia="Times New Roman" w:hAnsi="Palatino Linotype" w:cs="Times New Roman"/>
          <w:i/>
          <w:sz w:val="24"/>
          <w:szCs w:val="24"/>
          <w:lang w:val="es-ES_tradnl" w:eastAsia="es-ES"/>
        </w:rPr>
        <w:t>“</w:t>
      </w:r>
      <w:r w:rsidR="00031F7F" w:rsidRPr="00031F7F">
        <w:rPr>
          <w:rFonts w:ascii="Palatino Linotype" w:eastAsia="Times New Roman" w:hAnsi="Palatino Linotype" w:cs="Times New Roman"/>
          <w:i/>
          <w:sz w:val="24"/>
          <w:szCs w:val="24"/>
          <w:lang w:val="es-ES_tradnl" w:eastAsia="es-ES"/>
        </w:rPr>
        <w:t>Metepec, México a 20 de Febrero de 2019</w:t>
      </w:r>
    </w:p>
    <w:p w:rsidR="00031F7F" w:rsidRPr="00031F7F" w:rsidRDefault="00031F7F" w:rsidP="00031F7F">
      <w:pPr>
        <w:pStyle w:val="Prrafodelista"/>
        <w:spacing w:after="0" w:line="360" w:lineRule="auto"/>
        <w:ind w:left="567" w:right="616"/>
        <w:jc w:val="right"/>
        <w:rPr>
          <w:rFonts w:ascii="Palatino Linotype" w:eastAsia="Times New Roman" w:hAnsi="Palatino Linotype" w:cs="Times New Roman"/>
          <w:i/>
          <w:sz w:val="24"/>
          <w:szCs w:val="24"/>
          <w:lang w:val="es-ES_tradnl" w:eastAsia="es-ES"/>
        </w:rPr>
      </w:pPr>
      <w:r w:rsidRPr="00031F7F">
        <w:rPr>
          <w:rFonts w:ascii="Palatino Linotype" w:eastAsia="Times New Roman" w:hAnsi="Palatino Linotype" w:cs="Times New Roman"/>
          <w:i/>
          <w:sz w:val="24"/>
          <w:szCs w:val="24"/>
          <w:lang w:val="es-ES_tradnl" w:eastAsia="es-ES"/>
        </w:rPr>
        <w:t xml:space="preserve">Nombre del solicitante: </w:t>
      </w:r>
      <w:r w:rsidR="009E6C5F" w:rsidRPr="009E6C5F">
        <w:rPr>
          <w:rFonts w:ascii="Palatino Linotype" w:eastAsia="Times New Roman" w:hAnsi="Palatino Linotype" w:cs="Times New Roman"/>
          <w:i/>
          <w:sz w:val="24"/>
          <w:szCs w:val="24"/>
          <w:highlight w:val="black"/>
          <w:lang w:val="es-ES_tradnl" w:eastAsia="es-ES"/>
        </w:rPr>
        <w:t>--------</w:t>
      </w:r>
      <w:r w:rsidR="009E6C5F">
        <w:rPr>
          <w:rFonts w:ascii="Palatino Linotype" w:eastAsia="Times New Roman" w:hAnsi="Palatino Linotype" w:cs="Times New Roman"/>
          <w:i/>
          <w:sz w:val="24"/>
          <w:szCs w:val="24"/>
          <w:highlight w:val="black"/>
          <w:lang w:val="es-ES_tradnl" w:eastAsia="es-ES"/>
        </w:rPr>
        <w:t>--</w:t>
      </w:r>
      <w:r w:rsidR="009E6C5F" w:rsidRPr="009E6C5F">
        <w:rPr>
          <w:rFonts w:ascii="Palatino Linotype" w:eastAsia="Times New Roman" w:hAnsi="Palatino Linotype" w:cs="Times New Roman"/>
          <w:i/>
          <w:sz w:val="24"/>
          <w:szCs w:val="24"/>
          <w:highlight w:val="black"/>
          <w:lang w:val="es-ES_tradnl" w:eastAsia="es-ES"/>
        </w:rPr>
        <w:t>----------------------------------</w:t>
      </w:r>
    </w:p>
    <w:p w:rsidR="00031F7F" w:rsidRPr="00031F7F" w:rsidRDefault="00031F7F" w:rsidP="00031F7F">
      <w:pPr>
        <w:pStyle w:val="Prrafodelista"/>
        <w:spacing w:after="0" w:line="360" w:lineRule="auto"/>
        <w:ind w:left="567" w:right="616"/>
        <w:jc w:val="right"/>
        <w:rPr>
          <w:rFonts w:ascii="Palatino Linotype" w:eastAsia="Times New Roman" w:hAnsi="Palatino Linotype" w:cs="Times New Roman"/>
          <w:i/>
          <w:sz w:val="24"/>
          <w:szCs w:val="24"/>
          <w:lang w:val="es-ES_tradnl" w:eastAsia="es-ES"/>
        </w:rPr>
      </w:pPr>
      <w:r w:rsidRPr="00031F7F">
        <w:rPr>
          <w:rFonts w:ascii="Palatino Linotype" w:eastAsia="Times New Roman" w:hAnsi="Palatino Linotype" w:cs="Times New Roman"/>
          <w:i/>
          <w:sz w:val="24"/>
          <w:szCs w:val="24"/>
          <w:lang w:val="es-ES_tradnl" w:eastAsia="es-ES"/>
        </w:rPr>
        <w:t>Folio de la solicitud: 00017/METEPEC/IP/2019</w:t>
      </w:r>
    </w:p>
    <w:p w:rsidR="00031F7F" w:rsidRPr="00031F7F" w:rsidRDefault="00031F7F" w:rsidP="00031F7F">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r w:rsidRPr="00031F7F">
        <w:rPr>
          <w:rFonts w:ascii="Palatino Linotype" w:eastAsia="Times New Roman" w:hAnsi="Palatino Linotype" w:cs="Times New Roman"/>
          <w:i/>
          <w:sz w:val="24"/>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31F7F" w:rsidRPr="00031F7F" w:rsidRDefault="00031F7F" w:rsidP="00031F7F">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r w:rsidRPr="00031F7F">
        <w:rPr>
          <w:rFonts w:ascii="Palatino Linotype" w:eastAsia="Times New Roman" w:hAnsi="Palatino Linotype" w:cs="Times New Roman"/>
          <w:i/>
          <w:sz w:val="24"/>
          <w:szCs w:val="24"/>
          <w:lang w:val="es-ES_tradnl" w:eastAsia="es-ES"/>
        </w:rPr>
        <w:t>Metepec, México a 20 de FEBRERO de 2019 Nombre del solicitante: RICARDO VALDEZ MICHUA Folio de la solicitud: 00017/METEPEC/IP/2019 En respuesta a la solicitud recibida, nos permitimos hacer de su conocimiento que con fundamento en el artículo 53, Fracciones: II, V y VI de la Ley de Transparencia y Acceso a la Información Pública del Estado de México y Municipios, le contestamos que: Se envía respuesta en archivo adjunto.</w:t>
      </w:r>
    </w:p>
    <w:p w:rsidR="00031F7F" w:rsidRPr="00031F7F" w:rsidRDefault="00031F7F" w:rsidP="00031F7F">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r w:rsidRPr="00031F7F">
        <w:rPr>
          <w:rFonts w:ascii="Palatino Linotype" w:eastAsia="Times New Roman" w:hAnsi="Palatino Linotype" w:cs="Times New Roman"/>
          <w:i/>
          <w:sz w:val="24"/>
          <w:szCs w:val="24"/>
          <w:lang w:val="es-ES_tradnl" w:eastAsia="es-ES"/>
        </w:rPr>
        <w:t>ATENTAMENTE</w:t>
      </w:r>
    </w:p>
    <w:p w:rsidR="009F1B31" w:rsidRPr="00031F7F" w:rsidRDefault="00031F7F" w:rsidP="00031F7F">
      <w:pPr>
        <w:pStyle w:val="Prrafodelista"/>
        <w:spacing w:after="0" w:line="360" w:lineRule="auto"/>
        <w:ind w:left="0" w:right="616" w:firstLine="567"/>
        <w:jc w:val="both"/>
        <w:rPr>
          <w:rFonts w:ascii="Palatino Linotype" w:eastAsia="Times New Roman" w:hAnsi="Palatino Linotype" w:cs="Times New Roman"/>
          <w:i/>
          <w:sz w:val="24"/>
          <w:szCs w:val="24"/>
          <w:lang w:val="es-ES_tradnl" w:eastAsia="es-ES"/>
        </w:rPr>
      </w:pPr>
      <w:r w:rsidRPr="00031F7F">
        <w:rPr>
          <w:rFonts w:ascii="Palatino Linotype" w:eastAsia="Times New Roman" w:hAnsi="Palatino Linotype" w:cs="Times New Roman"/>
          <w:i/>
          <w:sz w:val="24"/>
          <w:szCs w:val="24"/>
          <w:lang w:val="es-ES_tradnl" w:eastAsia="es-ES"/>
        </w:rPr>
        <w:t>Alberto Daniel García Curiel</w:t>
      </w:r>
      <w:r w:rsidR="009B4E7D" w:rsidRPr="00031F7F">
        <w:rPr>
          <w:rFonts w:ascii="Palatino Linotype" w:eastAsia="Times New Roman" w:hAnsi="Palatino Linotype" w:cs="Times New Roman"/>
          <w:i/>
          <w:sz w:val="24"/>
          <w:szCs w:val="24"/>
          <w:lang w:val="es-ES_tradnl" w:eastAsia="es-ES"/>
        </w:rPr>
        <w:t>” (Sic)</w:t>
      </w:r>
    </w:p>
    <w:p w:rsidR="009F1B31" w:rsidRPr="009F1B31" w:rsidRDefault="009F1B31" w:rsidP="009F1B31">
      <w:pPr>
        <w:pStyle w:val="Prrafodelista"/>
        <w:spacing w:after="0" w:line="360" w:lineRule="auto"/>
        <w:ind w:left="567" w:right="616"/>
        <w:rPr>
          <w:rFonts w:ascii="Palatino Linotype" w:eastAsia="Times New Roman" w:hAnsi="Palatino Linotype" w:cs="Times New Roman"/>
          <w:i/>
          <w:sz w:val="24"/>
          <w:szCs w:val="24"/>
          <w:lang w:val="es-ES_tradnl" w:eastAsia="es-ES"/>
        </w:rPr>
      </w:pPr>
    </w:p>
    <w:p w:rsidR="00FE23FD" w:rsidRDefault="00031F7F" w:rsidP="004F5418">
      <w:pPr>
        <w:pStyle w:val="Prrafodelista"/>
        <w:numPr>
          <w:ilvl w:val="0"/>
          <w:numId w:val="1"/>
        </w:numPr>
        <w:spacing w:before="240" w:after="24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A dicho escrito se anexaron los </w:t>
      </w:r>
      <w:r w:rsidR="00FE23FD">
        <w:rPr>
          <w:rFonts w:ascii="Palatino Linotype" w:hAnsi="Palatino Linotype" w:cs="Arial"/>
          <w:sz w:val="24"/>
          <w:szCs w:val="24"/>
        </w:rPr>
        <w:t>siguiente</w:t>
      </w:r>
      <w:r>
        <w:rPr>
          <w:rFonts w:ascii="Palatino Linotype" w:hAnsi="Palatino Linotype" w:cs="Arial"/>
          <w:sz w:val="24"/>
          <w:szCs w:val="24"/>
        </w:rPr>
        <w:t>s</w:t>
      </w:r>
      <w:r w:rsidR="00FE23FD">
        <w:rPr>
          <w:rFonts w:ascii="Palatino Linotype" w:hAnsi="Palatino Linotype" w:cs="Arial"/>
          <w:sz w:val="24"/>
          <w:szCs w:val="24"/>
        </w:rPr>
        <w:t xml:space="preserve"> </w:t>
      </w:r>
      <w:r w:rsidR="00587C4C">
        <w:rPr>
          <w:rFonts w:ascii="Palatino Linotype" w:hAnsi="Palatino Linotype" w:cs="Arial"/>
          <w:sz w:val="24"/>
          <w:szCs w:val="24"/>
        </w:rPr>
        <w:t>documento</w:t>
      </w:r>
      <w:r>
        <w:rPr>
          <w:rFonts w:ascii="Palatino Linotype" w:hAnsi="Palatino Linotype" w:cs="Arial"/>
          <w:sz w:val="24"/>
          <w:szCs w:val="24"/>
        </w:rPr>
        <w:t>s</w:t>
      </w:r>
      <w:r w:rsidR="00587C4C">
        <w:rPr>
          <w:rFonts w:ascii="Palatino Linotype" w:hAnsi="Palatino Linotype" w:cs="Arial"/>
          <w:sz w:val="24"/>
          <w:szCs w:val="24"/>
        </w:rPr>
        <w:t>:</w:t>
      </w:r>
      <w:r w:rsidR="00FE23FD">
        <w:rPr>
          <w:rFonts w:ascii="Palatino Linotype" w:hAnsi="Palatino Linotype" w:cs="Arial"/>
          <w:sz w:val="24"/>
          <w:szCs w:val="24"/>
        </w:rPr>
        <w:t xml:space="preserve">  </w:t>
      </w:r>
    </w:p>
    <w:p w:rsidR="00FE23FD" w:rsidRPr="00FE23FD" w:rsidRDefault="00FE23FD" w:rsidP="00FE23FD">
      <w:pPr>
        <w:pStyle w:val="Prrafodelista"/>
        <w:spacing w:before="240" w:after="240" w:line="360" w:lineRule="auto"/>
        <w:ind w:left="0"/>
        <w:jc w:val="both"/>
        <w:rPr>
          <w:rFonts w:ascii="Palatino Linotype" w:hAnsi="Palatino Linotype" w:cs="Arial"/>
          <w:b/>
          <w:sz w:val="24"/>
          <w:szCs w:val="24"/>
        </w:rPr>
      </w:pPr>
    </w:p>
    <w:p w:rsidR="00FE23FD" w:rsidRPr="00031F7F" w:rsidRDefault="00031F7F" w:rsidP="00031F7F">
      <w:pPr>
        <w:pStyle w:val="Prrafodelista"/>
        <w:numPr>
          <w:ilvl w:val="0"/>
          <w:numId w:val="16"/>
        </w:numPr>
        <w:spacing w:before="240" w:after="240" w:line="360" w:lineRule="auto"/>
        <w:jc w:val="both"/>
        <w:rPr>
          <w:rFonts w:ascii="Palatino Linotype" w:hAnsi="Palatino Linotype" w:cs="Arial"/>
          <w:b/>
          <w:sz w:val="24"/>
          <w:szCs w:val="24"/>
        </w:rPr>
      </w:pPr>
      <w:r>
        <w:rPr>
          <w:rFonts w:ascii="Palatino Linotype" w:hAnsi="Palatino Linotype" w:cs="Arial"/>
          <w:b/>
          <w:sz w:val="24"/>
          <w:szCs w:val="24"/>
        </w:rPr>
        <w:t>RVM017IP19.PDF</w:t>
      </w:r>
      <w:r w:rsidR="00FE23FD" w:rsidRPr="00031F7F">
        <w:rPr>
          <w:rFonts w:ascii="Palatino Linotype" w:hAnsi="Palatino Linotype" w:cs="Arial"/>
          <w:b/>
          <w:sz w:val="24"/>
          <w:szCs w:val="24"/>
        </w:rPr>
        <w:t xml:space="preserve">: </w:t>
      </w:r>
      <w:r w:rsidR="00FE23FD" w:rsidRPr="00031F7F">
        <w:rPr>
          <w:rFonts w:ascii="Palatino Linotype" w:hAnsi="Palatino Linotype" w:cs="Arial"/>
          <w:sz w:val="24"/>
          <w:szCs w:val="24"/>
        </w:rPr>
        <w:t>Documento electrónico que en</w:t>
      </w:r>
      <w:r>
        <w:rPr>
          <w:rFonts w:ascii="Palatino Linotype" w:hAnsi="Palatino Linotype" w:cs="Arial"/>
          <w:sz w:val="24"/>
          <w:szCs w:val="24"/>
        </w:rPr>
        <w:t xml:space="preserve"> una (01) hoja contiene el oficio  UT/MET/150/2019 signado por Jefe de la Unidad de Transparencia y dirigido al solicitante, mediante el cual se informa que se pone a disposición la información emitida por el servidor público habilitado. </w:t>
      </w:r>
    </w:p>
    <w:p w:rsidR="00FE23FD" w:rsidRPr="00937B23" w:rsidRDefault="00031F7F" w:rsidP="00937B23">
      <w:pPr>
        <w:pStyle w:val="Prrafodelista"/>
        <w:numPr>
          <w:ilvl w:val="0"/>
          <w:numId w:val="16"/>
        </w:numPr>
        <w:spacing w:before="240" w:after="240" w:line="360" w:lineRule="auto"/>
        <w:jc w:val="both"/>
        <w:rPr>
          <w:rFonts w:ascii="Palatino Linotype" w:hAnsi="Palatino Linotype" w:cs="Arial"/>
          <w:b/>
          <w:sz w:val="24"/>
          <w:szCs w:val="24"/>
        </w:rPr>
      </w:pPr>
      <w:r w:rsidRPr="00031F7F">
        <w:rPr>
          <w:rFonts w:ascii="Palatino Linotype" w:hAnsi="Palatino Linotype" w:cs="Arial"/>
          <w:b/>
          <w:sz w:val="24"/>
          <w:szCs w:val="24"/>
        </w:rPr>
        <w:t xml:space="preserve">RVM017IP19adm.PDF: </w:t>
      </w:r>
      <w:r w:rsidRPr="00031F7F">
        <w:rPr>
          <w:rFonts w:ascii="Palatino Linotype" w:hAnsi="Palatino Linotype" w:cs="Arial"/>
          <w:sz w:val="24"/>
          <w:szCs w:val="24"/>
        </w:rPr>
        <w:t>Documento electrónico que en</w:t>
      </w:r>
      <w:r>
        <w:rPr>
          <w:rFonts w:ascii="Palatino Linotype" w:hAnsi="Palatino Linotype" w:cs="Arial"/>
          <w:sz w:val="24"/>
          <w:szCs w:val="24"/>
        </w:rPr>
        <w:t xml:space="preserve"> dos </w:t>
      </w:r>
      <w:r w:rsidR="00E2055A">
        <w:rPr>
          <w:rFonts w:ascii="Palatino Linotype" w:hAnsi="Palatino Linotype" w:cs="Arial"/>
          <w:sz w:val="24"/>
          <w:szCs w:val="24"/>
        </w:rPr>
        <w:t>(02</w:t>
      </w:r>
      <w:r>
        <w:rPr>
          <w:rFonts w:ascii="Palatino Linotype" w:hAnsi="Palatino Linotype" w:cs="Arial"/>
          <w:sz w:val="24"/>
          <w:szCs w:val="24"/>
        </w:rPr>
        <w:t>) hojas</w:t>
      </w:r>
      <w:r w:rsidR="00E2055A">
        <w:rPr>
          <w:rFonts w:ascii="Palatino Linotype" w:hAnsi="Palatino Linotype" w:cs="Arial"/>
          <w:sz w:val="24"/>
          <w:szCs w:val="24"/>
        </w:rPr>
        <w:t xml:space="preserve"> contiene el oficio DA/0623/2019 </w:t>
      </w:r>
      <w:r>
        <w:rPr>
          <w:rFonts w:ascii="Palatino Linotype" w:hAnsi="Palatino Linotype" w:cs="Arial"/>
          <w:sz w:val="24"/>
          <w:szCs w:val="24"/>
        </w:rPr>
        <w:t>signado por</w:t>
      </w:r>
      <w:r w:rsidR="00E2055A">
        <w:rPr>
          <w:rFonts w:ascii="Palatino Linotype" w:hAnsi="Palatino Linotype" w:cs="Arial"/>
          <w:sz w:val="24"/>
          <w:szCs w:val="24"/>
        </w:rPr>
        <w:t xml:space="preserve"> la Directora de Administración </w:t>
      </w:r>
      <w:r>
        <w:rPr>
          <w:rFonts w:ascii="Palatino Linotype" w:hAnsi="Palatino Linotype" w:cs="Arial"/>
          <w:sz w:val="24"/>
          <w:szCs w:val="24"/>
        </w:rPr>
        <w:t xml:space="preserve"> y dirigido al</w:t>
      </w:r>
      <w:r w:rsidR="00E2055A">
        <w:rPr>
          <w:rFonts w:ascii="Palatino Linotype" w:hAnsi="Palatino Linotype" w:cs="Arial"/>
          <w:sz w:val="24"/>
          <w:szCs w:val="24"/>
        </w:rPr>
        <w:t xml:space="preserve"> Jefe de la Unidad de Transparencia</w:t>
      </w:r>
      <w:r>
        <w:rPr>
          <w:rFonts w:ascii="Palatino Linotype" w:hAnsi="Palatino Linotype" w:cs="Arial"/>
          <w:sz w:val="24"/>
          <w:szCs w:val="24"/>
        </w:rPr>
        <w:t xml:space="preserve">, mediante el cual se informa que </w:t>
      </w:r>
      <w:r w:rsidR="00E2055A">
        <w:rPr>
          <w:rFonts w:ascii="Palatino Linotype" w:hAnsi="Palatino Linotype" w:cs="Arial"/>
          <w:sz w:val="24"/>
          <w:szCs w:val="24"/>
        </w:rPr>
        <w:t xml:space="preserve">respecto de los puntos relacionados al cambio de imagen institucional a la fecha no se ha realizado procedimiento alguno; </w:t>
      </w:r>
      <w:r w:rsidR="00937B23">
        <w:rPr>
          <w:rFonts w:ascii="Palatino Linotype" w:hAnsi="Palatino Linotype" w:cs="Arial"/>
          <w:sz w:val="24"/>
          <w:szCs w:val="24"/>
        </w:rPr>
        <w:t>el número de servidores a los que se les pago y a los que no</w:t>
      </w:r>
      <w:r w:rsidR="001B6836">
        <w:rPr>
          <w:rFonts w:ascii="Palatino Linotype" w:hAnsi="Palatino Linotype" w:cs="Arial"/>
          <w:sz w:val="24"/>
          <w:szCs w:val="24"/>
        </w:rPr>
        <w:t>;</w:t>
      </w:r>
      <w:r w:rsidR="00937B23">
        <w:rPr>
          <w:rFonts w:ascii="Palatino Linotype" w:hAnsi="Palatino Linotype" w:cs="Arial"/>
          <w:sz w:val="24"/>
          <w:szCs w:val="24"/>
        </w:rPr>
        <w:t xml:space="preserve"> y que respecto a las unidades de recolección de residuos sólidos no se realizó compra alguna. </w:t>
      </w:r>
    </w:p>
    <w:p w:rsidR="00937B23" w:rsidRPr="00937B23" w:rsidRDefault="00937B23" w:rsidP="00937B23">
      <w:pPr>
        <w:pStyle w:val="Prrafodelista"/>
        <w:spacing w:before="240" w:after="240" w:line="360" w:lineRule="auto"/>
        <w:jc w:val="both"/>
        <w:rPr>
          <w:rFonts w:ascii="Palatino Linotype" w:hAnsi="Palatino Linotype" w:cs="Arial"/>
          <w:b/>
          <w:sz w:val="24"/>
          <w:szCs w:val="24"/>
        </w:rPr>
      </w:pPr>
    </w:p>
    <w:p w:rsidR="004E3710" w:rsidRDefault="0046491C" w:rsidP="004E3710">
      <w:pPr>
        <w:pStyle w:val="Prrafodelista"/>
        <w:numPr>
          <w:ilvl w:val="0"/>
          <w:numId w:val="1"/>
        </w:numPr>
        <w:spacing w:before="240" w:after="240" w:line="360" w:lineRule="auto"/>
        <w:ind w:left="0" w:firstLine="0"/>
        <w:jc w:val="both"/>
        <w:rPr>
          <w:rFonts w:ascii="Palatino Linotype" w:hAnsi="Palatino Linotype" w:cs="Arial"/>
          <w:sz w:val="24"/>
          <w:szCs w:val="24"/>
        </w:rPr>
      </w:pPr>
      <w:r w:rsidRPr="00805837">
        <w:rPr>
          <w:rFonts w:ascii="Palatino Linotype" w:hAnsi="Palatino Linotype" w:cs="Arial"/>
          <w:sz w:val="24"/>
          <w:szCs w:val="24"/>
        </w:rPr>
        <w:t>En ese sentido,</w:t>
      </w:r>
      <w:r w:rsidRPr="00805837">
        <w:rPr>
          <w:rFonts w:ascii="Palatino Linotype" w:hAnsi="Palatino Linotype" w:cs="Arial"/>
          <w:b/>
          <w:sz w:val="24"/>
          <w:szCs w:val="24"/>
        </w:rPr>
        <w:t xml:space="preserve"> </w:t>
      </w:r>
      <w:r w:rsidR="00AE4797" w:rsidRPr="00805837">
        <w:rPr>
          <w:rFonts w:ascii="Palatino Linotype" w:hAnsi="Palatino Linotype" w:cs="Arial"/>
          <w:sz w:val="24"/>
          <w:szCs w:val="24"/>
        </w:rPr>
        <w:t>el particular</w:t>
      </w:r>
      <w:r w:rsidR="005F3760" w:rsidRPr="00805837">
        <w:rPr>
          <w:rFonts w:ascii="Palatino Linotype" w:hAnsi="Palatino Linotype" w:cs="Arial"/>
          <w:sz w:val="24"/>
          <w:szCs w:val="24"/>
        </w:rPr>
        <w:t xml:space="preserve"> en sus motivos de inconformidad, ya no se duele por la totalidad de la información que le fue proporcionada, se queja únicamente</w:t>
      </w:r>
      <w:r w:rsidR="009F1B31">
        <w:rPr>
          <w:rFonts w:ascii="Palatino Linotype" w:hAnsi="Palatino Linotype" w:cs="Arial"/>
          <w:sz w:val="24"/>
          <w:szCs w:val="24"/>
        </w:rPr>
        <w:t xml:space="preserve"> por la </w:t>
      </w:r>
      <w:r w:rsidR="008D44B3">
        <w:rPr>
          <w:rFonts w:ascii="Palatino Linotype" w:hAnsi="Palatino Linotype" w:cs="Arial"/>
          <w:sz w:val="24"/>
          <w:szCs w:val="24"/>
        </w:rPr>
        <w:t xml:space="preserve">información relativa al cambio de imagen institucional y de la adquisición de las unidades recolectoras de residuos sólidos. </w:t>
      </w:r>
    </w:p>
    <w:p w:rsidR="00444048" w:rsidRPr="0001046D" w:rsidRDefault="004E3710" w:rsidP="004E3710">
      <w:pPr>
        <w:pStyle w:val="Prrafodelista"/>
        <w:spacing w:before="240" w:after="240" w:line="360" w:lineRule="auto"/>
        <w:ind w:left="0"/>
        <w:jc w:val="both"/>
        <w:rPr>
          <w:rFonts w:ascii="Palatino Linotype" w:hAnsi="Palatino Linotype" w:cs="Arial"/>
          <w:sz w:val="24"/>
          <w:szCs w:val="24"/>
        </w:rPr>
      </w:pPr>
      <w:r w:rsidRPr="0001046D">
        <w:rPr>
          <w:rFonts w:ascii="Palatino Linotype" w:hAnsi="Palatino Linotype" w:cs="Arial"/>
          <w:sz w:val="24"/>
          <w:szCs w:val="24"/>
        </w:rPr>
        <w:t xml:space="preserve"> </w:t>
      </w:r>
    </w:p>
    <w:p w:rsidR="0046491C" w:rsidRDefault="009531A0" w:rsidP="004F5418">
      <w:pPr>
        <w:pStyle w:val="Prrafodelista"/>
        <w:numPr>
          <w:ilvl w:val="0"/>
          <w:numId w:val="1"/>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Por otro lado e</w:t>
      </w:r>
      <w:r w:rsidR="0046491C" w:rsidRPr="0001046D">
        <w:rPr>
          <w:rFonts w:ascii="Palatino Linotype" w:hAnsi="Palatino Linotype" w:cs="Arial"/>
          <w:sz w:val="24"/>
          <w:szCs w:val="24"/>
        </w:rPr>
        <w:t xml:space="preserve">s de destacar, </w:t>
      </w:r>
      <w:r w:rsidR="00AE4797">
        <w:rPr>
          <w:rFonts w:ascii="Palatino Linotype" w:hAnsi="Palatino Linotype" w:cs="Arial"/>
          <w:sz w:val="24"/>
          <w:szCs w:val="24"/>
        </w:rPr>
        <w:t>que</w:t>
      </w:r>
      <w:r w:rsidR="005F3760">
        <w:rPr>
          <w:rFonts w:ascii="Palatino Linotype" w:hAnsi="Palatino Linotype" w:cs="Arial"/>
          <w:sz w:val="24"/>
          <w:szCs w:val="24"/>
        </w:rPr>
        <w:t xml:space="preserve"> el Sujeto Obligado atiende  la solicitud de forma parcial</w:t>
      </w:r>
      <w:r w:rsidR="00AE4797">
        <w:rPr>
          <w:rFonts w:ascii="Palatino Linotype" w:hAnsi="Palatino Linotype" w:cs="Arial"/>
          <w:sz w:val="24"/>
          <w:szCs w:val="24"/>
        </w:rPr>
        <w:t xml:space="preserve">, sin embargo, </w:t>
      </w:r>
      <w:r w:rsidR="0046491C" w:rsidRPr="0001046D">
        <w:rPr>
          <w:rFonts w:ascii="Palatino Linotype" w:hAnsi="Palatino Linotype" w:cs="Arial"/>
          <w:sz w:val="24"/>
          <w:szCs w:val="24"/>
        </w:rPr>
        <w:t>en el estudio y desarrollo de dicha resolución fueron invocados los llamados actos consentidos, tal y como se observa en las siguientes líneas de la resolución en comento:</w:t>
      </w:r>
    </w:p>
    <w:p w:rsidR="0021461E" w:rsidRPr="0021461E" w:rsidRDefault="0021461E" w:rsidP="0021461E">
      <w:pPr>
        <w:pStyle w:val="Prrafodelista"/>
        <w:rPr>
          <w:rFonts w:ascii="Palatino Linotype" w:hAnsi="Palatino Linotype" w:cs="Arial"/>
          <w:sz w:val="24"/>
          <w:szCs w:val="24"/>
        </w:rPr>
      </w:pPr>
    </w:p>
    <w:p w:rsidR="0021461E" w:rsidRDefault="0021461E" w:rsidP="0021461E">
      <w:pPr>
        <w:pStyle w:val="Prrafodelista"/>
        <w:spacing w:after="0" w:line="360" w:lineRule="auto"/>
        <w:ind w:left="0"/>
        <w:jc w:val="both"/>
        <w:rPr>
          <w:rFonts w:ascii="Palatino Linotype" w:hAnsi="Palatino Linotype" w:cs="Arial"/>
          <w:sz w:val="24"/>
          <w:szCs w:val="24"/>
        </w:rPr>
      </w:pPr>
    </w:p>
    <w:p w:rsidR="008D44B3" w:rsidRPr="008D44B3" w:rsidRDefault="005C79C8" w:rsidP="008D44B3">
      <w:pPr>
        <w:spacing w:after="360" w:line="360" w:lineRule="auto"/>
        <w:ind w:left="567" w:right="616"/>
        <w:jc w:val="both"/>
        <w:rPr>
          <w:rFonts w:ascii="Palatino Linotype" w:hAnsi="Palatino Linotype"/>
          <w:i/>
        </w:rPr>
      </w:pPr>
      <w:r w:rsidRPr="009531A0">
        <w:rPr>
          <w:rFonts w:ascii="Palatino Linotype" w:hAnsi="Palatino Linotype"/>
          <w:i/>
        </w:rPr>
        <w:t>“</w:t>
      </w:r>
      <w:r w:rsidR="008D44B3" w:rsidRPr="008D44B3">
        <w:rPr>
          <w:rFonts w:ascii="Palatino Linotype" w:hAnsi="Palatino Linotype"/>
          <w:i/>
          <w:lang w:val="es-ES_tradnl"/>
        </w:rPr>
        <w:t xml:space="preserve">Así, en virtud de lo anterior, se advierte que </w:t>
      </w:r>
      <w:r w:rsidR="008D44B3" w:rsidRPr="008D44B3">
        <w:rPr>
          <w:rFonts w:ascii="Palatino Linotype" w:hAnsi="Palatino Linotype"/>
          <w:b/>
          <w:i/>
          <w:lang w:val="es-ES_tradnl"/>
        </w:rPr>
        <w:t>EL RECURRENTE</w:t>
      </w:r>
      <w:r w:rsidR="008D44B3" w:rsidRPr="008D44B3">
        <w:rPr>
          <w:rFonts w:ascii="Palatino Linotype" w:hAnsi="Palatino Linotype"/>
          <w:i/>
          <w:lang w:val="es-ES_tradnl"/>
        </w:rPr>
        <w:t xml:space="preserve"> sólo expresó </w:t>
      </w:r>
      <w:r w:rsidR="008D44B3" w:rsidRPr="008D44B3">
        <w:rPr>
          <w:rFonts w:ascii="Palatino Linotype" w:hAnsi="Palatino Linotype"/>
          <w:i/>
        </w:rPr>
        <w:t xml:space="preserve">su intención de controvertir el contenido de la información que le fue entregada por </w:t>
      </w:r>
      <w:r w:rsidR="008D44B3" w:rsidRPr="008D44B3">
        <w:rPr>
          <w:rFonts w:ascii="Palatino Linotype" w:hAnsi="Palatino Linotype"/>
          <w:b/>
          <w:i/>
        </w:rPr>
        <w:t>EL</w:t>
      </w:r>
      <w:r w:rsidR="008D44B3" w:rsidRPr="008D44B3">
        <w:rPr>
          <w:rFonts w:ascii="Palatino Linotype" w:hAnsi="Palatino Linotype"/>
          <w:i/>
        </w:rPr>
        <w:t xml:space="preserve"> </w:t>
      </w:r>
      <w:r w:rsidR="008D44B3" w:rsidRPr="008D44B3">
        <w:rPr>
          <w:rFonts w:ascii="Palatino Linotype" w:hAnsi="Palatino Linotype"/>
          <w:b/>
          <w:i/>
        </w:rPr>
        <w:t>SUJETO OBLIGADO</w:t>
      </w:r>
      <w:r w:rsidR="008D44B3" w:rsidRPr="008D44B3">
        <w:rPr>
          <w:rFonts w:ascii="Palatino Linotype" w:hAnsi="Palatino Linotype"/>
          <w:i/>
        </w:rPr>
        <w:t xml:space="preserve">, con relación a los </w:t>
      </w:r>
      <w:r w:rsidR="008D44B3" w:rsidRPr="008D44B3">
        <w:rPr>
          <w:rFonts w:ascii="Palatino Linotype" w:hAnsi="Palatino Linotype"/>
          <w:b/>
          <w:i/>
        </w:rPr>
        <w:t>numerales</w:t>
      </w:r>
      <w:r w:rsidR="008D44B3" w:rsidRPr="008D44B3">
        <w:rPr>
          <w:rFonts w:ascii="Palatino Linotype" w:hAnsi="Palatino Linotype"/>
          <w:i/>
        </w:rPr>
        <w:t xml:space="preserve"> </w:t>
      </w:r>
      <w:r w:rsidR="008D44B3" w:rsidRPr="008D44B3">
        <w:rPr>
          <w:rFonts w:ascii="Palatino Linotype" w:hAnsi="Palatino Linotype"/>
          <w:b/>
          <w:i/>
        </w:rPr>
        <w:t>1</w:t>
      </w:r>
      <w:r w:rsidR="008D44B3" w:rsidRPr="008D44B3">
        <w:rPr>
          <w:rFonts w:ascii="Palatino Linotype" w:hAnsi="Palatino Linotype"/>
          <w:i/>
        </w:rPr>
        <w:t xml:space="preserve"> y </w:t>
      </w:r>
      <w:r w:rsidR="008D44B3" w:rsidRPr="008D44B3">
        <w:rPr>
          <w:rFonts w:ascii="Palatino Linotype" w:hAnsi="Palatino Linotype"/>
          <w:b/>
          <w:i/>
        </w:rPr>
        <w:t>5</w:t>
      </w:r>
      <w:r w:rsidR="008D44B3" w:rsidRPr="008D44B3">
        <w:rPr>
          <w:rFonts w:ascii="Palatino Linotype" w:hAnsi="Palatino Linotype"/>
          <w:i/>
        </w:rPr>
        <w:t xml:space="preserve"> supra; por lo que, debe interpretarse que, al no ser combatida o impugnada el resto de la información requerida, es decir, de los </w:t>
      </w:r>
      <w:r w:rsidR="008D44B3" w:rsidRPr="008D44B3">
        <w:rPr>
          <w:rFonts w:ascii="Palatino Linotype" w:hAnsi="Palatino Linotype"/>
          <w:b/>
          <w:i/>
        </w:rPr>
        <w:t>numerales 2, 3 y 4</w:t>
      </w:r>
      <w:r w:rsidR="008D44B3" w:rsidRPr="008D44B3">
        <w:rPr>
          <w:rFonts w:ascii="Palatino Linotype" w:hAnsi="Palatino Linotype"/>
          <w:i/>
        </w:rPr>
        <w:t>, debe entenderse que fueron colmados a su entera satisfacción. Sirve de apoyo a lo anterior, por analogía la Tesis Jurisprudencial Número 3ª./J.7/91, Publicada en el Semanario Judicial de la Federación y su Gaceta bajo el número de registro 174,177, que establece lo siguiente:</w:t>
      </w:r>
    </w:p>
    <w:p w:rsidR="008D44B3" w:rsidRPr="008D44B3" w:rsidRDefault="008D44B3" w:rsidP="008D44B3">
      <w:pPr>
        <w:spacing w:after="360" w:line="360" w:lineRule="auto"/>
        <w:ind w:left="567" w:right="616"/>
        <w:jc w:val="both"/>
        <w:rPr>
          <w:rFonts w:ascii="Palatino Linotype" w:hAnsi="Palatino Linotype"/>
          <w:bCs/>
          <w:i/>
          <w:iCs/>
        </w:rPr>
      </w:pPr>
      <w:r w:rsidRPr="008D44B3">
        <w:rPr>
          <w:rFonts w:ascii="Palatino Linotype" w:hAnsi="Palatino Linotype"/>
          <w:i/>
        </w:rPr>
        <w:t>“</w:t>
      </w:r>
      <w:r w:rsidRPr="008D44B3">
        <w:rPr>
          <w:rFonts w:ascii="Palatino Linotype" w:hAnsi="Palatino Linotype"/>
          <w:b/>
          <w:i/>
        </w:rPr>
        <w:t xml:space="preserve">REVISIÓN EN AMPARO. LOS RESOLUTIVOS NO COMBATIDOS DEBEN DECLARARSE FIRMES. </w:t>
      </w:r>
      <w:r w:rsidRPr="008D44B3">
        <w:rPr>
          <w:rFonts w:ascii="Palatino Linotype" w:hAnsi="Palatino Linotype"/>
          <w:bCs/>
          <w:i/>
          <w:iCs/>
        </w:rPr>
        <w:t xml:space="preserve">Cuando algún resolutivo de la sentencia impugnada afecta a la recurrente, y ésta no expresa agravio en contra de las consideraciones que le sirven de base, dicho resolutivo debe declararse </w:t>
      </w:r>
      <w:r w:rsidRPr="008D44B3">
        <w:rPr>
          <w:rFonts w:ascii="Palatino Linotype" w:hAnsi="Palatino Linotype"/>
          <w:i/>
        </w:rPr>
        <w:t>firme</w:t>
      </w:r>
      <w:r w:rsidRPr="008D44B3">
        <w:rPr>
          <w:rFonts w:ascii="Palatino Linotype" w:hAnsi="Palatino Linotype"/>
          <w:bCs/>
          <w:i/>
          <w:iCs/>
        </w:rPr>
        <w:t>.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8D44B3" w:rsidRPr="008D44B3" w:rsidRDefault="008D44B3" w:rsidP="008D44B3">
      <w:pPr>
        <w:spacing w:after="360" w:line="360" w:lineRule="auto"/>
        <w:ind w:left="567" w:right="616"/>
        <w:jc w:val="both"/>
        <w:rPr>
          <w:rFonts w:ascii="Palatino Linotype" w:hAnsi="Palatino Linotype"/>
          <w:bCs/>
          <w:i/>
          <w:iCs/>
        </w:rPr>
      </w:pPr>
      <w:r w:rsidRPr="008D44B3">
        <w:rPr>
          <w:rFonts w:ascii="Palatino Linotype" w:hAnsi="Palatino Linotype"/>
          <w:bCs/>
          <w:i/>
          <w:iCs/>
        </w:rPr>
        <w:t>Amparo en revisión 1475/2005. María del Consuelo Buendía Ramírez. 7 de diciembre de 2005. Cinco votos. Ponente: Sergio A. Valls Hernández. Secretario: Gustavo Ruiz Padilla.</w:t>
      </w:r>
    </w:p>
    <w:p w:rsidR="008D44B3" w:rsidRPr="008D44B3" w:rsidRDefault="008D44B3" w:rsidP="008D44B3">
      <w:pPr>
        <w:spacing w:after="360" w:line="360" w:lineRule="auto"/>
        <w:ind w:left="567" w:right="616"/>
        <w:jc w:val="both"/>
        <w:rPr>
          <w:rFonts w:ascii="Palatino Linotype" w:hAnsi="Palatino Linotype"/>
          <w:bCs/>
          <w:i/>
          <w:iCs/>
        </w:rPr>
      </w:pPr>
      <w:r w:rsidRPr="008D44B3">
        <w:rPr>
          <w:rFonts w:ascii="Palatino Linotype" w:hAnsi="Palatino Linotype"/>
          <w:bCs/>
          <w:i/>
          <w:iCs/>
        </w:rPr>
        <w:t>Amparo en revisión 168/2006. Leticia Fernández Mañón. 1o. de marzo de 2006. Cinco votos. Ponente: Juan N. Silva Meza. Secretario: Jaime Flores Cruz.</w:t>
      </w:r>
    </w:p>
    <w:p w:rsidR="008D44B3" w:rsidRPr="008D44B3" w:rsidRDefault="008D44B3" w:rsidP="008D44B3">
      <w:pPr>
        <w:spacing w:after="360" w:line="360" w:lineRule="auto"/>
        <w:ind w:left="567" w:right="616"/>
        <w:jc w:val="both"/>
        <w:rPr>
          <w:rFonts w:ascii="Palatino Linotype" w:hAnsi="Palatino Linotype"/>
          <w:bCs/>
          <w:i/>
          <w:iCs/>
        </w:rPr>
      </w:pPr>
      <w:r w:rsidRPr="008D44B3">
        <w:rPr>
          <w:rFonts w:ascii="Palatino Linotype" w:hAnsi="Palatino Linotype"/>
          <w:bCs/>
          <w:i/>
          <w:iCs/>
        </w:rPr>
        <w:t>Amparo en revisión 235/2006. Jorge González Gallegos. 15 de marzo de 2006. Cinco votos. Ponente: Juan N. Silva Meza. Secretario: Jaime Flores Cruz.</w:t>
      </w:r>
    </w:p>
    <w:p w:rsidR="008D44B3" w:rsidRPr="008D44B3" w:rsidRDefault="008D44B3" w:rsidP="008D44B3">
      <w:pPr>
        <w:spacing w:after="360" w:line="360" w:lineRule="auto"/>
        <w:ind w:left="567" w:right="616"/>
        <w:jc w:val="both"/>
        <w:rPr>
          <w:rFonts w:ascii="Palatino Linotype" w:hAnsi="Palatino Linotype"/>
          <w:bCs/>
          <w:i/>
          <w:iCs/>
        </w:rPr>
      </w:pPr>
      <w:r w:rsidRPr="008D44B3">
        <w:rPr>
          <w:rFonts w:ascii="Palatino Linotype" w:hAnsi="Palatino Linotype"/>
          <w:bCs/>
          <w:i/>
          <w:iCs/>
        </w:rPr>
        <w:t xml:space="preserve">Amparo en revisión 394/2006. Elia Margarita Flores </w:t>
      </w:r>
      <w:proofErr w:type="spellStart"/>
      <w:r w:rsidRPr="008D44B3">
        <w:rPr>
          <w:rFonts w:ascii="Palatino Linotype" w:hAnsi="Palatino Linotype"/>
          <w:bCs/>
          <w:i/>
          <w:iCs/>
        </w:rPr>
        <w:t>Jarquín</w:t>
      </w:r>
      <w:proofErr w:type="spellEnd"/>
      <w:r w:rsidRPr="008D44B3">
        <w:rPr>
          <w:rFonts w:ascii="Palatino Linotype" w:hAnsi="Palatino Linotype"/>
          <w:bCs/>
          <w:i/>
          <w:iCs/>
        </w:rPr>
        <w:t>. 29 de marzo de 2006. Unanimidad de cuatro votos. Ausente: Olga Sánchez Cordero de García Villegas. Ponente: Juan N. Silva Meza. Secretario: Jaime Flores Cruz.</w:t>
      </w:r>
    </w:p>
    <w:p w:rsidR="008D44B3" w:rsidRPr="008D44B3" w:rsidRDefault="008D44B3" w:rsidP="008D44B3">
      <w:pPr>
        <w:spacing w:after="360" w:line="360" w:lineRule="auto"/>
        <w:ind w:left="567" w:right="616"/>
        <w:jc w:val="both"/>
        <w:rPr>
          <w:rFonts w:ascii="Palatino Linotype" w:hAnsi="Palatino Linotype"/>
          <w:bCs/>
          <w:i/>
          <w:iCs/>
          <w:lang w:val="pt-BR"/>
        </w:rPr>
      </w:pPr>
      <w:r w:rsidRPr="008D44B3">
        <w:rPr>
          <w:rFonts w:ascii="Palatino Linotype" w:hAnsi="Palatino Linotype"/>
          <w:bCs/>
          <w:i/>
          <w:iCs/>
        </w:rPr>
        <w:t xml:space="preserve">Amparo en revisión 1179/2006. Ernesto Orlando Ortiz Vázquez. </w:t>
      </w:r>
      <w:r w:rsidRPr="008D44B3">
        <w:rPr>
          <w:rFonts w:ascii="Palatino Linotype" w:hAnsi="Palatino Linotype"/>
          <w:bCs/>
          <w:i/>
          <w:iCs/>
          <w:lang w:val="pt-BR"/>
        </w:rPr>
        <w:t xml:space="preserve">16 de agosto de 2006. Cinco votos. </w:t>
      </w:r>
      <w:proofErr w:type="spellStart"/>
      <w:r w:rsidRPr="008D44B3">
        <w:rPr>
          <w:rFonts w:ascii="Palatino Linotype" w:hAnsi="Palatino Linotype"/>
          <w:bCs/>
          <w:i/>
          <w:iCs/>
          <w:lang w:val="pt-BR"/>
        </w:rPr>
        <w:t>Ponente</w:t>
      </w:r>
      <w:proofErr w:type="spellEnd"/>
      <w:r w:rsidRPr="008D44B3">
        <w:rPr>
          <w:rFonts w:ascii="Palatino Linotype" w:hAnsi="Palatino Linotype"/>
          <w:bCs/>
          <w:i/>
          <w:iCs/>
          <w:lang w:val="pt-BR"/>
        </w:rPr>
        <w:t xml:space="preserve">: José de </w:t>
      </w:r>
      <w:proofErr w:type="spellStart"/>
      <w:r w:rsidRPr="008D44B3">
        <w:rPr>
          <w:rFonts w:ascii="Palatino Linotype" w:hAnsi="Palatino Linotype"/>
          <w:bCs/>
          <w:i/>
          <w:iCs/>
          <w:lang w:val="pt-BR"/>
        </w:rPr>
        <w:t>Jesús</w:t>
      </w:r>
      <w:proofErr w:type="spellEnd"/>
      <w:r w:rsidRPr="008D44B3">
        <w:rPr>
          <w:rFonts w:ascii="Palatino Linotype" w:hAnsi="Palatino Linotype"/>
          <w:bCs/>
          <w:i/>
          <w:iCs/>
          <w:lang w:val="pt-BR"/>
        </w:rPr>
        <w:t xml:space="preserve"> </w:t>
      </w:r>
      <w:proofErr w:type="spellStart"/>
      <w:r w:rsidRPr="008D44B3">
        <w:rPr>
          <w:rFonts w:ascii="Palatino Linotype" w:hAnsi="Palatino Linotype"/>
          <w:bCs/>
          <w:i/>
          <w:iCs/>
          <w:lang w:val="pt-BR"/>
        </w:rPr>
        <w:t>Gudiño</w:t>
      </w:r>
      <w:proofErr w:type="spellEnd"/>
      <w:r w:rsidRPr="008D44B3">
        <w:rPr>
          <w:rFonts w:ascii="Palatino Linotype" w:hAnsi="Palatino Linotype"/>
          <w:bCs/>
          <w:i/>
          <w:iCs/>
          <w:lang w:val="pt-BR"/>
        </w:rPr>
        <w:t xml:space="preserve"> </w:t>
      </w:r>
      <w:proofErr w:type="spellStart"/>
      <w:r w:rsidRPr="008D44B3">
        <w:rPr>
          <w:rFonts w:ascii="Palatino Linotype" w:hAnsi="Palatino Linotype"/>
          <w:bCs/>
          <w:i/>
          <w:iCs/>
          <w:lang w:val="pt-BR"/>
        </w:rPr>
        <w:t>Pelayo</w:t>
      </w:r>
      <w:proofErr w:type="spellEnd"/>
      <w:r w:rsidRPr="008D44B3">
        <w:rPr>
          <w:rFonts w:ascii="Palatino Linotype" w:hAnsi="Palatino Linotype"/>
          <w:bCs/>
          <w:i/>
          <w:iCs/>
          <w:lang w:val="pt-BR"/>
        </w:rPr>
        <w:t xml:space="preserve">. Secretario: José de </w:t>
      </w:r>
      <w:proofErr w:type="spellStart"/>
      <w:r w:rsidRPr="008D44B3">
        <w:rPr>
          <w:rFonts w:ascii="Palatino Linotype" w:hAnsi="Palatino Linotype"/>
          <w:bCs/>
          <w:i/>
          <w:iCs/>
          <w:lang w:val="pt-BR"/>
        </w:rPr>
        <w:t>Jesús</w:t>
      </w:r>
      <w:proofErr w:type="spellEnd"/>
      <w:r w:rsidRPr="008D44B3">
        <w:rPr>
          <w:rFonts w:ascii="Palatino Linotype" w:hAnsi="Palatino Linotype"/>
          <w:bCs/>
          <w:i/>
          <w:iCs/>
          <w:lang w:val="pt-BR"/>
        </w:rPr>
        <w:t xml:space="preserve"> </w:t>
      </w:r>
      <w:proofErr w:type="spellStart"/>
      <w:r w:rsidRPr="008D44B3">
        <w:rPr>
          <w:rFonts w:ascii="Palatino Linotype" w:hAnsi="Palatino Linotype"/>
          <w:bCs/>
          <w:i/>
          <w:iCs/>
          <w:lang w:val="pt-BR"/>
        </w:rPr>
        <w:t>Bañales</w:t>
      </w:r>
      <w:proofErr w:type="spellEnd"/>
      <w:r w:rsidRPr="008D44B3">
        <w:rPr>
          <w:rFonts w:ascii="Palatino Linotype" w:hAnsi="Palatino Linotype"/>
          <w:bCs/>
          <w:i/>
          <w:iCs/>
          <w:lang w:val="pt-BR"/>
        </w:rPr>
        <w:t xml:space="preserve"> Sánchez.</w:t>
      </w:r>
    </w:p>
    <w:p w:rsidR="008D44B3" w:rsidRPr="008D44B3" w:rsidRDefault="008D44B3" w:rsidP="008D44B3">
      <w:pPr>
        <w:spacing w:after="360" w:line="360" w:lineRule="auto"/>
        <w:ind w:left="567" w:right="616"/>
        <w:jc w:val="both"/>
        <w:rPr>
          <w:rFonts w:ascii="Palatino Linotype" w:hAnsi="Palatino Linotype"/>
          <w:i/>
          <w:lang w:val="pt-BR"/>
        </w:rPr>
      </w:pPr>
      <w:proofErr w:type="spellStart"/>
      <w:r w:rsidRPr="008D44B3">
        <w:rPr>
          <w:rFonts w:ascii="Palatino Linotype" w:hAnsi="Palatino Linotype"/>
          <w:bCs/>
          <w:i/>
          <w:iCs/>
          <w:lang w:val="pt-BR"/>
        </w:rPr>
        <w:t>Tesis</w:t>
      </w:r>
      <w:proofErr w:type="spellEnd"/>
      <w:r w:rsidRPr="008D44B3">
        <w:rPr>
          <w:rFonts w:ascii="Palatino Linotype" w:hAnsi="Palatino Linotype"/>
          <w:bCs/>
          <w:i/>
          <w:iCs/>
          <w:lang w:val="pt-BR"/>
        </w:rPr>
        <w:t xml:space="preserve"> de </w:t>
      </w:r>
      <w:proofErr w:type="spellStart"/>
      <w:r w:rsidRPr="008D44B3">
        <w:rPr>
          <w:rFonts w:ascii="Palatino Linotype" w:hAnsi="Palatino Linotype"/>
          <w:bCs/>
          <w:i/>
          <w:iCs/>
          <w:lang w:val="pt-BR"/>
        </w:rPr>
        <w:t>jurisprudencia</w:t>
      </w:r>
      <w:proofErr w:type="spellEnd"/>
      <w:r w:rsidRPr="008D44B3">
        <w:rPr>
          <w:rFonts w:ascii="Palatino Linotype" w:hAnsi="Palatino Linotype"/>
          <w:bCs/>
          <w:i/>
          <w:iCs/>
          <w:lang w:val="pt-BR"/>
        </w:rPr>
        <w:t xml:space="preserve"> 62/2006. </w:t>
      </w:r>
      <w:proofErr w:type="spellStart"/>
      <w:r w:rsidRPr="008D44B3">
        <w:rPr>
          <w:rFonts w:ascii="Palatino Linotype" w:hAnsi="Palatino Linotype"/>
          <w:bCs/>
          <w:i/>
          <w:iCs/>
          <w:lang w:val="pt-BR"/>
        </w:rPr>
        <w:t>Aprobada</w:t>
      </w:r>
      <w:proofErr w:type="spellEnd"/>
      <w:r w:rsidRPr="008D44B3">
        <w:rPr>
          <w:rFonts w:ascii="Palatino Linotype" w:hAnsi="Palatino Linotype"/>
          <w:bCs/>
          <w:i/>
          <w:iCs/>
          <w:lang w:val="pt-BR"/>
        </w:rPr>
        <w:t xml:space="preserve"> por </w:t>
      </w:r>
      <w:proofErr w:type="spellStart"/>
      <w:r w:rsidRPr="008D44B3">
        <w:rPr>
          <w:rFonts w:ascii="Palatino Linotype" w:hAnsi="Palatino Linotype"/>
          <w:bCs/>
          <w:i/>
          <w:iCs/>
          <w:lang w:val="pt-BR"/>
        </w:rPr>
        <w:t>la</w:t>
      </w:r>
      <w:proofErr w:type="spellEnd"/>
      <w:r w:rsidRPr="008D44B3">
        <w:rPr>
          <w:rFonts w:ascii="Palatino Linotype" w:hAnsi="Palatino Linotype"/>
          <w:bCs/>
          <w:i/>
          <w:iCs/>
          <w:lang w:val="pt-BR"/>
        </w:rPr>
        <w:t xml:space="preserve"> </w:t>
      </w:r>
      <w:proofErr w:type="spellStart"/>
      <w:r w:rsidRPr="008D44B3">
        <w:rPr>
          <w:rFonts w:ascii="Palatino Linotype" w:hAnsi="Palatino Linotype"/>
          <w:bCs/>
          <w:i/>
          <w:iCs/>
          <w:lang w:val="pt-BR"/>
        </w:rPr>
        <w:t>Primera</w:t>
      </w:r>
      <w:proofErr w:type="spellEnd"/>
      <w:r w:rsidRPr="008D44B3">
        <w:rPr>
          <w:rFonts w:ascii="Palatino Linotype" w:hAnsi="Palatino Linotype"/>
          <w:bCs/>
          <w:i/>
          <w:iCs/>
          <w:lang w:val="pt-BR"/>
        </w:rPr>
        <w:t xml:space="preserve"> Sala de este Alto Tribunal, </w:t>
      </w:r>
      <w:proofErr w:type="spellStart"/>
      <w:r w:rsidRPr="008D44B3">
        <w:rPr>
          <w:rFonts w:ascii="Palatino Linotype" w:hAnsi="Palatino Linotype"/>
          <w:bCs/>
          <w:i/>
          <w:iCs/>
          <w:lang w:val="pt-BR"/>
        </w:rPr>
        <w:t>en</w:t>
      </w:r>
      <w:proofErr w:type="spellEnd"/>
      <w:r w:rsidRPr="008D44B3">
        <w:rPr>
          <w:rFonts w:ascii="Palatino Linotype" w:hAnsi="Palatino Linotype"/>
          <w:bCs/>
          <w:i/>
          <w:iCs/>
          <w:lang w:val="pt-BR"/>
        </w:rPr>
        <w:t xml:space="preserve"> </w:t>
      </w:r>
      <w:proofErr w:type="spellStart"/>
      <w:r w:rsidRPr="008D44B3">
        <w:rPr>
          <w:rFonts w:ascii="Palatino Linotype" w:hAnsi="Palatino Linotype"/>
          <w:bCs/>
          <w:i/>
          <w:iCs/>
          <w:lang w:val="pt-BR"/>
        </w:rPr>
        <w:t>sesión</w:t>
      </w:r>
      <w:proofErr w:type="spellEnd"/>
      <w:r w:rsidRPr="008D44B3">
        <w:rPr>
          <w:rFonts w:ascii="Palatino Linotype" w:hAnsi="Palatino Linotype"/>
          <w:bCs/>
          <w:i/>
          <w:iCs/>
          <w:lang w:val="pt-BR"/>
        </w:rPr>
        <w:t xml:space="preserve"> de </w:t>
      </w:r>
      <w:proofErr w:type="spellStart"/>
      <w:r w:rsidRPr="008D44B3">
        <w:rPr>
          <w:rFonts w:ascii="Palatino Linotype" w:hAnsi="Palatino Linotype"/>
          <w:bCs/>
          <w:i/>
          <w:iCs/>
          <w:lang w:val="pt-BR"/>
        </w:rPr>
        <w:t>treinta</w:t>
      </w:r>
      <w:proofErr w:type="spellEnd"/>
      <w:r w:rsidRPr="008D44B3">
        <w:rPr>
          <w:rFonts w:ascii="Palatino Linotype" w:hAnsi="Palatino Linotype"/>
          <w:bCs/>
          <w:i/>
          <w:iCs/>
          <w:lang w:val="pt-BR"/>
        </w:rPr>
        <w:t xml:space="preserve"> de agosto de dos mil seis.”</w:t>
      </w:r>
    </w:p>
    <w:p w:rsidR="008D44B3" w:rsidRPr="008D44B3" w:rsidRDefault="008D44B3" w:rsidP="008D44B3">
      <w:pPr>
        <w:spacing w:after="360" w:line="360" w:lineRule="auto"/>
        <w:ind w:left="567" w:right="616"/>
        <w:jc w:val="both"/>
        <w:rPr>
          <w:rFonts w:ascii="Palatino Linotype" w:hAnsi="Palatino Linotype"/>
          <w:i/>
        </w:rPr>
      </w:pPr>
      <w:r w:rsidRPr="008D44B3">
        <w:rPr>
          <w:rFonts w:ascii="Palatino Linotype" w:hAnsi="Palatino Linotype"/>
          <w:i/>
        </w:rPr>
        <w:t xml:space="preserve">Consecuentemente, el contenido de la información otorgada por lo que hace a los </w:t>
      </w:r>
      <w:r w:rsidRPr="008D44B3">
        <w:rPr>
          <w:rFonts w:ascii="Palatino Linotype" w:hAnsi="Palatino Linotype"/>
          <w:b/>
          <w:i/>
        </w:rPr>
        <w:t>numerales 2, 3 y 4</w:t>
      </w:r>
      <w:r w:rsidRPr="008D44B3">
        <w:rPr>
          <w:rFonts w:ascii="Palatino Linotype" w:hAnsi="Palatino Linotype"/>
          <w:i/>
        </w:rPr>
        <w:t xml:space="preserve">, al no ser impugnada por </w:t>
      </w:r>
      <w:r w:rsidRPr="008D44B3">
        <w:rPr>
          <w:rFonts w:ascii="Palatino Linotype" w:hAnsi="Palatino Linotype"/>
          <w:b/>
          <w:i/>
        </w:rPr>
        <w:t>EL</w:t>
      </w:r>
      <w:r w:rsidRPr="008D44B3">
        <w:rPr>
          <w:rFonts w:ascii="Palatino Linotype" w:hAnsi="Palatino Linotype"/>
          <w:i/>
        </w:rPr>
        <w:t xml:space="preserve"> </w:t>
      </w:r>
      <w:r w:rsidRPr="008D44B3">
        <w:rPr>
          <w:rFonts w:ascii="Palatino Linotype" w:hAnsi="Palatino Linotype"/>
          <w:b/>
          <w:i/>
        </w:rPr>
        <w:t>RECURRENTE debe declararse por consentida</w:t>
      </w:r>
      <w:r w:rsidRPr="008D44B3">
        <w:rPr>
          <w:rFonts w:ascii="Palatino Linotype" w:hAnsi="Palatino Linotype"/>
          <w:i/>
        </w:rPr>
        <w:t xml:space="preserve">, toda vez que, no se realizaron manifestaciones de inconformidad respecto de la misma; por lo que, no podrían producirse efectos jurídicos tendientes a revocarlos, confirmarlos o modificarlos, ya que se advierte respecto a éstos, un consentimiento por parte del </w:t>
      </w:r>
      <w:r w:rsidRPr="008D44B3">
        <w:rPr>
          <w:rFonts w:ascii="Palatino Linotype" w:hAnsi="Palatino Linotype"/>
          <w:b/>
          <w:i/>
        </w:rPr>
        <w:t>RECURRENTE</w:t>
      </w:r>
      <w:r w:rsidRPr="008D44B3">
        <w:rPr>
          <w:rFonts w:ascii="Palatino Linotype" w:hAnsi="Palatino Linotype"/>
          <w:i/>
        </w:rPr>
        <w:t>, ante la falta de impugnación eficaz. Sirve de sustento por analogía, la tesis jurisprudencial número VI.3o.C. J/60, publicada en el Semanario Judicial de la Federación y su Gaceta bajo el número de registro 176,608 que a la letra dice:</w:t>
      </w:r>
    </w:p>
    <w:p w:rsidR="008D44B3" w:rsidRPr="008D44B3" w:rsidRDefault="008D44B3" w:rsidP="008D44B3">
      <w:pPr>
        <w:spacing w:after="360" w:line="360" w:lineRule="auto"/>
        <w:ind w:left="567" w:right="616"/>
        <w:jc w:val="both"/>
        <w:rPr>
          <w:rFonts w:ascii="Palatino Linotype" w:hAnsi="Palatino Linotype"/>
          <w:i/>
        </w:rPr>
      </w:pPr>
      <w:r w:rsidRPr="008D44B3">
        <w:rPr>
          <w:rFonts w:ascii="Palatino Linotype" w:hAnsi="Palatino Linotype"/>
          <w:bCs/>
          <w:i/>
        </w:rPr>
        <w:t>“</w:t>
      </w:r>
      <w:r w:rsidRPr="008D44B3">
        <w:rPr>
          <w:rFonts w:ascii="Palatino Linotype" w:hAnsi="Palatino Linotype"/>
          <w:b/>
          <w:bCs/>
          <w:i/>
        </w:rPr>
        <w:t xml:space="preserve">ACTOS CONSENTIDOS. SON LOS QUE NO SE IMPUGNAN MEDIANTE EL RECURSO IDÓNEO. </w:t>
      </w:r>
      <w:r w:rsidRPr="008D44B3">
        <w:rPr>
          <w:rFonts w:ascii="Palatino Linotype" w:hAnsi="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5C79C8" w:rsidRPr="008D44B3" w:rsidRDefault="008D44B3" w:rsidP="008D44B3">
      <w:pPr>
        <w:spacing w:after="360" w:line="360" w:lineRule="auto"/>
        <w:ind w:left="567" w:right="616"/>
        <w:jc w:val="both"/>
        <w:rPr>
          <w:rFonts w:ascii="Palatino Linotype" w:hAnsi="Palatino Linotype"/>
          <w:i/>
        </w:rPr>
      </w:pPr>
      <w:r w:rsidRPr="008D44B3">
        <w:rPr>
          <w:rFonts w:ascii="Palatino Linotype" w:hAnsi="Palatino Linotype"/>
          <w:i/>
        </w:rPr>
        <w:t xml:space="preserve">Por tanto, el presente estudio versará respecto de la inconformidad expresada por </w:t>
      </w:r>
      <w:r w:rsidRPr="008D44B3">
        <w:rPr>
          <w:rFonts w:ascii="Palatino Linotype" w:hAnsi="Palatino Linotype"/>
          <w:b/>
          <w:i/>
        </w:rPr>
        <w:t>EL RECURRENTE</w:t>
      </w:r>
      <w:r w:rsidRPr="008D44B3">
        <w:rPr>
          <w:rFonts w:ascii="Palatino Linotype" w:hAnsi="Palatino Linotype"/>
          <w:i/>
        </w:rPr>
        <w:t xml:space="preserve">, con relación a  la información correspondiente a los </w:t>
      </w:r>
      <w:r w:rsidRPr="008D44B3">
        <w:rPr>
          <w:rFonts w:ascii="Palatino Linotype" w:hAnsi="Palatino Linotype"/>
          <w:b/>
          <w:i/>
        </w:rPr>
        <w:t>numerales</w:t>
      </w:r>
      <w:r w:rsidRPr="008D44B3">
        <w:rPr>
          <w:rFonts w:ascii="Palatino Linotype" w:hAnsi="Palatino Linotype"/>
          <w:i/>
        </w:rPr>
        <w:t xml:space="preserve"> </w:t>
      </w:r>
      <w:r w:rsidRPr="008D44B3">
        <w:rPr>
          <w:rFonts w:ascii="Palatino Linotype" w:hAnsi="Palatino Linotype"/>
          <w:b/>
          <w:i/>
        </w:rPr>
        <w:t>1</w:t>
      </w:r>
      <w:r w:rsidRPr="008D44B3">
        <w:rPr>
          <w:rFonts w:ascii="Palatino Linotype" w:hAnsi="Palatino Linotype"/>
          <w:i/>
        </w:rPr>
        <w:t xml:space="preserve"> y </w:t>
      </w:r>
      <w:r w:rsidRPr="008D44B3">
        <w:rPr>
          <w:rFonts w:ascii="Palatino Linotype" w:hAnsi="Palatino Linotype"/>
          <w:b/>
          <w:i/>
        </w:rPr>
        <w:t>5</w:t>
      </w:r>
      <w:r w:rsidR="00805837" w:rsidRPr="009531A0">
        <w:rPr>
          <w:rFonts w:ascii="Palatino Linotype" w:hAnsi="Palatino Linotype"/>
          <w:bCs/>
          <w:i/>
          <w:lang w:val="es-ES"/>
        </w:rPr>
        <w:t>.</w:t>
      </w:r>
      <w:r w:rsidR="005C79C8" w:rsidRPr="009531A0">
        <w:rPr>
          <w:rFonts w:ascii="Palatino Linotype" w:hAnsi="Palatino Linotype"/>
          <w:i/>
        </w:rPr>
        <w:t>” (Sic)</w:t>
      </w:r>
    </w:p>
    <w:p w:rsidR="005C79C8" w:rsidRPr="0021461E" w:rsidRDefault="0046491C" w:rsidP="005C79C8">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21461E">
        <w:rPr>
          <w:rFonts w:ascii="Palatino Linotype" w:hAnsi="Palatino Linotype" w:cs="Arial"/>
          <w:sz w:val="24"/>
          <w:szCs w:val="24"/>
        </w:rPr>
        <w:t>Derivado de lo transcrito con anterioridad, considero que la</w:t>
      </w:r>
      <w:r w:rsidR="00260D6C" w:rsidRPr="0021461E">
        <w:rPr>
          <w:rFonts w:ascii="Palatino Linotype" w:hAnsi="Palatino Linotype" w:cs="Arial"/>
          <w:sz w:val="24"/>
          <w:szCs w:val="24"/>
        </w:rPr>
        <w:t xml:space="preserve"> incorporación de dicho argumento</w:t>
      </w:r>
      <w:r w:rsidRPr="0021461E">
        <w:rPr>
          <w:rFonts w:ascii="Palatino Linotype" w:hAnsi="Palatino Linotype" w:cs="Arial"/>
          <w:sz w:val="24"/>
          <w:szCs w:val="24"/>
        </w:rPr>
        <w:t xml:space="preserve"> en la resolución en comento resulta a todas luces </w:t>
      </w:r>
      <w:r w:rsidR="00A5491E" w:rsidRPr="0021461E">
        <w:rPr>
          <w:rFonts w:ascii="Palatino Linotype" w:hAnsi="Palatino Linotype" w:cs="Arial"/>
          <w:sz w:val="24"/>
          <w:szCs w:val="24"/>
        </w:rPr>
        <w:t>innecesaria</w:t>
      </w:r>
      <w:r w:rsidR="00A5491E">
        <w:rPr>
          <w:rFonts w:ascii="Palatino Linotype" w:hAnsi="Palatino Linotype" w:cs="Arial"/>
          <w:sz w:val="24"/>
          <w:szCs w:val="24"/>
        </w:rPr>
        <w:t xml:space="preserve"> </w:t>
      </w:r>
      <w:r w:rsidR="00E61AB8" w:rsidRPr="0021461E">
        <w:rPr>
          <w:rFonts w:ascii="Palatino Linotype" w:hAnsi="Palatino Linotype" w:cs="Arial"/>
          <w:sz w:val="24"/>
          <w:szCs w:val="24"/>
        </w:rPr>
        <w:t xml:space="preserve">y además no da </w:t>
      </w:r>
      <w:r w:rsidR="005237D2">
        <w:rPr>
          <w:rFonts w:ascii="Palatino Linotype" w:hAnsi="Palatino Linotype" w:cs="Arial"/>
          <w:sz w:val="24"/>
          <w:szCs w:val="24"/>
        </w:rPr>
        <w:t>lugar a invocarlo</w:t>
      </w:r>
      <w:r w:rsidRPr="0021461E">
        <w:rPr>
          <w:rFonts w:ascii="Palatino Linotype" w:hAnsi="Palatino Linotype" w:cs="Arial"/>
          <w:sz w:val="24"/>
          <w:szCs w:val="24"/>
        </w:rPr>
        <w:t xml:space="preserve"> en el derecho humano fundamental de acceder a la información pública gubernamental.</w:t>
      </w:r>
      <w:r w:rsidRPr="0021461E">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al resto de los requerimientos que no fueron manifestados en el recurso de revisión. </w:t>
      </w:r>
    </w:p>
    <w:p w:rsidR="005C79C8" w:rsidRPr="005C79C8" w:rsidRDefault="005C79C8" w:rsidP="005C79C8">
      <w:pPr>
        <w:pStyle w:val="Prrafodelista"/>
        <w:spacing w:before="240" w:after="240" w:line="360" w:lineRule="auto"/>
        <w:ind w:left="0" w:right="49"/>
        <w:jc w:val="both"/>
        <w:rPr>
          <w:rFonts w:ascii="Palatino Linotype" w:hAnsi="Palatino Linotype" w:cs="Arial"/>
          <w:sz w:val="24"/>
          <w:szCs w:val="24"/>
        </w:rPr>
      </w:pPr>
    </w:p>
    <w:p w:rsidR="00E47A30" w:rsidRPr="00E47A30" w:rsidRDefault="0046491C" w:rsidP="00651380">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01046D">
        <w:rPr>
          <w:rFonts w:ascii="Palatino Linotype" w:eastAsia="Calibri" w:hAnsi="Palatino Linotype" w:cs="Times New Roman"/>
          <w:sz w:val="24"/>
          <w:szCs w:val="24"/>
          <w:lang w:val="es-ES" w:eastAsia="es-ES"/>
        </w:rPr>
        <w:t xml:space="preserve">En el presente asunto que nos ocupa, es de señalar que del análisis hecho a la resolución en comento, no se discute que el </w:t>
      </w:r>
      <w:r w:rsidR="001B6836" w:rsidRPr="0001046D">
        <w:rPr>
          <w:rFonts w:ascii="Palatino Linotype" w:eastAsia="Calibri" w:hAnsi="Palatino Linotype" w:cs="Times New Roman"/>
          <w:b/>
          <w:sz w:val="24"/>
          <w:szCs w:val="24"/>
          <w:lang w:val="es-ES" w:eastAsia="es-ES"/>
        </w:rPr>
        <w:t>Sujeto Obligado</w:t>
      </w:r>
      <w:r w:rsidR="001B6836" w:rsidRPr="0001046D">
        <w:rPr>
          <w:rFonts w:ascii="Palatino Linotype" w:eastAsia="Calibri" w:hAnsi="Palatino Linotype" w:cs="Times New Roman"/>
          <w:sz w:val="24"/>
          <w:szCs w:val="24"/>
          <w:lang w:val="es-ES" w:eastAsia="es-ES"/>
        </w:rPr>
        <w:t xml:space="preserve"> </w:t>
      </w:r>
      <w:r w:rsidRPr="0001046D">
        <w:rPr>
          <w:rFonts w:ascii="Palatino Linotype" w:eastAsia="Calibri" w:hAnsi="Palatino Linotype" w:cs="Times New Roman"/>
          <w:sz w:val="24"/>
          <w:szCs w:val="24"/>
          <w:lang w:val="es-ES" w:eastAsia="es-ES"/>
        </w:rPr>
        <w:t>ha dado respuesta a la solicitud de información</w:t>
      </w:r>
      <w:r w:rsidR="00260D6C" w:rsidRPr="0001046D">
        <w:rPr>
          <w:rFonts w:ascii="Palatino Linotype" w:eastAsia="Calibri" w:hAnsi="Palatino Linotype" w:cs="Times New Roman"/>
          <w:sz w:val="24"/>
          <w:szCs w:val="24"/>
          <w:lang w:val="es-ES" w:eastAsia="es-ES"/>
        </w:rPr>
        <w:t xml:space="preserve"> en lo particular</w:t>
      </w:r>
      <w:r w:rsidRPr="0001046D">
        <w:rPr>
          <w:rFonts w:ascii="Palatino Linotype" w:eastAsia="Calibri" w:hAnsi="Palatino Linotype" w:cs="Times New Roman"/>
          <w:sz w:val="24"/>
          <w:szCs w:val="24"/>
          <w:lang w:val="es-ES" w:eastAsia="es-ES"/>
        </w:rPr>
        <w:t>, t</w:t>
      </w:r>
      <w:r w:rsidR="00260D6C" w:rsidRPr="0001046D">
        <w:rPr>
          <w:rFonts w:ascii="Palatino Linotype" w:eastAsia="Calibri" w:hAnsi="Palatino Linotype" w:cs="Times New Roman"/>
          <w:sz w:val="24"/>
          <w:szCs w:val="24"/>
          <w:lang w:val="es-ES" w:eastAsia="es-ES"/>
        </w:rPr>
        <w:t>an es así que al analizar la respuesta emitida se concluyó que colmó</w:t>
      </w:r>
      <w:r w:rsidR="005C79C8">
        <w:rPr>
          <w:rFonts w:ascii="Palatino Linotype" w:eastAsia="Calibri" w:hAnsi="Palatino Linotype" w:cs="Times New Roman"/>
          <w:sz w:val="24"/>
          <w:szCs w:val="24"/>
          <w:lang w:val="es-ES" w:eastAsia="es-ES"/>
        </w:rPr>
        <w:t xml:space="preserve"> parcialmente</w:t>
      </w:r>
      <w:r w:rsidR="00260D6C" w:rsidRPr="0001046D">
        <w:rPr>
          <w:rFonts w:ascii="Palatino Linotype" w:eastAsia="Calibri" w:hAnsi="Palatino Linotype" w:cs="Times New Roman"/>
          <w:sz w:val="24"/>
          <w:szCs w:val="24"/>
          <w:lang w:val="es-ES" w:eastAsia="es-ES"/>
        </w:rPr>
        <w:t xml:space="preserve"> con </w:t>
      </w:r>
      <w:r w:rsidRPr="0001046D">
        <w:rPr>
          <w:rFonts w:ascii="Palatino Linotype" w:eastAsia="Calibri" w:hAnsi="Palatino Linotype" w:cs="Times New Roman"/>
          <w:sz w:val="24"/>
          <w:szCs w:val="24"/>
          <w:lang w:val="es-ES" w:eastAsia="es-ES"/>
        </w:rPr>
        <w:t>el derecho de acceso a la información,</w:t>
      </w:r>
      <w:r w:rsidR="000F6C81">
        <w:rPr>
          <w:rFonts w:ascii="Palatino Linotype" w:eastAsia="Calibri" w:hAnsi="Palatino Linotype" w:cs="Times New Roman"/>
          <w:sz w:val="24"/>
          <w:szCs w:val="24"/>
          <w:lang w:val="es-ES" w:eastAsia="es-ES"/>
        </w:rPr>
        <w:t xml:space="preserve"> por</w:t>
      </w:r>
      <w:r w:rsidRPr="0001046D">
        <w:rPr>
          <w:rFonts w:ascii="Palatino Linotype" w:eastAsia="Calibri" w:hAnsi="Palatino Linotype" w:cs="Times New Roman"/>
          <w:sz w:val="24"/>
          <w:szCs w:val="24"/>
          <w:lang w:val="es-ES" w:eastAsia="es-ES"/>
        </w:rPr>
        <w:t xml:space="preserve"> </w:t>
      </w:r>
      <w:r w:rsidR="00260D6C" w:rsidRPr="0001046D">
        <w:rPr>
          <w:rFonts w:ascii="Palatino Linotype" w:eastAsia="Calibri" w:hAnsi="Palatino Linotype" w:cs="Times New Roman"/>
          <w:sz w:val="24"/>
          <w:szCs w:val="24"/>
          <w:lang w:val="es-ES" w:eastAsia="es-ES"/>
        </w:rPr>
        <w:t>lo que</w:t>
      </w:r>
      <w:r w:rsidR="000F6C81">
        <w:rPr>
          <w:rFonts w:ascii="Palatino Linotype" w:eastAsia="Calibri" w:hAnsi="Palatino Linotype" w:cs="Times New Roman"/>
          <w:sz w:val="24"/>
          <w:szCs w:val="24"/>
          <w:lang w:val="es-ES" w:eastAsia="es-ES"/>
        </w:rPr>
        <w:t xml:space="preserve"> a mi consideración</w:t>
      </w:r>
      <w:r w:rsidRPr="0001046D">
        <w:rPr>
          <w:rFonts w:ascii="Palatino Linotype" w:eastAsia="Calibri" w:hAnsi="Palatino Linotype" w:cs="Times New Roman"/>
          <w:sz w:val="24"/>
          <w:szCs w:val="24"/>
          <w:lang w:val="es-ES" w:eastAsia="es-ES"/>
        </w:rPr>
        <w:t>, es innecesario señalar</w:t>
      </w:r>
      <w:r w:rsidR="00194B6A" w:rsidRPr="0001046D">
        <w:rPr>
          <w:rFonts w:ascii="Palatino Linotype" w:eastAsia="Calibri" w:hAnsi="Palatino Linotype" w:cs="Times New Roman"/>
          <w:sz w:val="24"/>
          <w:szCs w:val="24"/>
          <w:lang w:val="es-ES" w:eastAsia="es-ES"/>
        </w:rPr>
        <w:t xml:space="preserve"> la figura de actos consentidos,</w:t>
      </w:r>
      <w:r w:rsidR="000F6C81">
        <w:rPr>
          <w:rFonts w:ascii="Palatino Linotype" w:eastAsia="Calibri" w:hAnsi="Palatino Linotype" w:cs="Times New Roman"/>
          <w:sz w:val="24"/>
          <w:szCs w:val="24"/>
          <w:lang w:val="es-ES" w:eastAsia="es-ES"/>
        </w:rPr>
        <w:t xml:space="preserve"> lo anterior en atención a que</w:t>
      </w:r>
      <w:r w:rsidR="00194B6A" w:rsidRPr="0001046D">
        <w:rPr>
          <w:rFonts w:ascii="Palatino Linotype" w:eastAsia="Calibri" w:hAnsi="Palatino Linotype" w:cs="Times New Roman"/>
          <w:sz w:val="24"/>
          <w:szCs w:val="24"/>
          <w:lang w:val="es-ES" w:eastAsia="es-ES"/>
        </w:rPr>
        <w:t xml:space="preserve"> éste insti</w:t>
      </w:r>
      <w:r w:rsidR="000F6C81">
        <w:rPr>
          <w:rFonts w:ascii="Palatino Linotype" w:eastAsia="Calibri" w:hAnsi="Palatino Linotype" w:cs="Times New Roman"/>
          <w:sz w:val="24"/>
          <w:szCs w:val="24"/>
          <w:lang w:val="es-ES" w:eastAsia="es-ES"/>
        </w:rPr>
        <w:t xml:space="preserve">tuto como órgano garante, tiene el </w:t>
      </w:r>
      <w:r w:rsidR="00194B6A" w:rsidRPr="0001046D">
        <w:rPr>
          <w:rFonts w:ascii="Palatino Linotype" w:eastAsia="Calibri" w:hAnsi="Palatino Linotype" w:cs="Times New Roman"/>
          <w:sz w:val="24"/>
          <w:szCs w:val="24"/>
          <w:lang w:val="es-ES" w:eastAsia="es-ES"/>
        </w:rPr>
        <w:t>deber</w:t>
      </w:r>
      <w:r w:rsidR="000F6C81">
        <w:rPr>
          <w:rFonts w:ascii="Palatino Linotype" w:eastAsia="Calibri" w:hAnsi="Palatino Linotype" w:cs="Times New Roman"/>
          <w:sz w:val="24"/>
          <w:szCs w:val="24"/>
          <w:lang w:val="es-ES" w:eastAsia="es-ES"/>
        </w:rPr>
        <w:t xml:space="preserve"> de</w:t>
      </w:r>
      <w:r w:rsidR="00194B6A" w:rsidRPr="0001046D">
        <w:rPr>
          <w:rFonts w:ascii="Palatino Linotype" w:eastAsia="Calibri" w:hAnsi="Palatino Linotype" w:cs="Times New Roman"/>
          <w:sz w:val="24"/>
          <w:szCs w:val="24"/>
          <w:lang w:val="es-ES" w:eastAsia="es-ES"/>
        </w:rPr>
        <w:t xml:space="preserve"> velar por el cabal cumplimiento al derecho humano de acceso a la información, mas no limita</w:t>
      </w:r>
      <w:r w:rsidR="0001046D">
        <w:rPr>
          <w:rFonts w:ascii="Palatino Linotype" w:eastAsia="Calibri" w:hAnsi="Palatino Linotype" w:cs="Times New Roman"/>
          <w:sz w:val="24"/>
          <w:szCs w:val="24"/>
          <w:lang w:val="es-ES" w:eastAsia="es-ES"/>
        </w:rPr>
        <w:t>rlo invocando el multicitado argumento de</w:t>
      </w:r>
      <w:r w:rsidR="00194B6A" w:rsidRPr="0001046D">
        <w:rPr>
          <w:rFonts w:ascii="Palatino Linotype" w:eastAsia="Calibri" w:hAnsi="Palatino Linotype" w:cs="Times New Roman"/>
          <w:sz w:val="24"/>
          <w:szCs w:val="24"/>
          <w:lang w:val="es-ES" w:eastAsia="es-ES"/>
        </w:rPr>
        <w:t xml:space="preserve"> actos consentidos.</w:t>
      </w:r>
    </w:p>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2" w:name="_Toc8674088"/>
      <w:r w:rsidRPr="0001046D">
        <w:rPr>
          <w:rFonts w:ascii="Palatino Linotype" w:hAnsi="Palatino Linotype"/>
          <w:b/>
          <w:color w:val="auto"/>
          <w:sz w:val="24"/>
          <w:szCs w:val="24"/>
        </w:rPr>
        <w:t>Los actos consentidos no deben invocarse en el derecho fundamental de acceder a la información pública gubernamental.</w:t>
      </w:r>
      <w:bookmarkEnd w:id="2"/>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Pr="0001046D" w:rsidRDefault="0046491C" w:rsidP="000F6C81">
      <w:pPr>
        <w:pStyle w:val="Prrafodelista"/>
        <w:numPr>
          <w:ilvl w:val="0"/>
          <w:numId w:val="1"/>
        </w:numPr>
        <w:spacing w:after="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 xml:space="preserve">En la resolución se precisa, un criterio </w:t>
      </w:r>
      <w:r w:rsidR="00260D6C" w:rsidRPr="0001046D">
        <w:rPr>
          <w:rFonts w:ascii="Palatino Linotype" w:hAnsi="Palatino Linotype" w:cs="Arial"/>
          <w:sz w:val="24"/>
          <w:szCs w:val="24"/>
        </w:rPr>
        <w:t>denominado</w:t>
      </w:r>
      <w:r w:rsidRPr="0001046D">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w:t>
      </w:r>
      <w:r w:rsidR="000F6C81">
        <w:rPr>
          <w:rFonts w:ascii="Palatino Linotype" w:hAnsi="Palatino Linotype" w:cs="Arial"/>
          <w:sz w:val="24"/>
          <w:szCs w:val="24"/>
        </w:rPr>
        <w:t xml:space="preserve">resultando así </w:t>
      </w:r>
      <w:r w:rsidRPr="0001046D">
        <w:rPr>
          <w:rFonts w:ascii="Palatino Linotype" w:hAnsi="Palatino Linotype" w:cs="Arial"/>
          <w:sz w:val="24"/>
          <w:szCs w:val="24"/>
        </w:rPr>
        <w:t xml:space="preserve">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01046D">
        <w:rPr>
          <w:rFonts w:ascii="Palatino Linotype" w:hAnsi="Palatino Linotype" w:cs="Arial"/>
          <w:b/>
          <w:sz w:val="24"/>
          <w:szCs w:val="24"/>
        </w:rPr>
        <w:t>acudir a un profesionista del derecho</w:t>
      </w:r>
      <w:r w:rsidRPr="0001046D">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La figura de la suplencia de la queja, para Héctor </w:t>
      </w:r>
      <w:proofErr w:type="spellStart"/>
      <w:r w:rsidRPr="0001046D">
        <w:rPr>
          <w:rFonts w:ascii="Palatino Linotype" w:hAnsi="Palatino Linotype" w:cs="Arial"/>
          <w:sz w:val="24"/>
          <w:szCs w:val="24"/>
        </w:rPr>
        <w:t>Fix</w:t>
      </w:r>
      <w:proofErr w:type="spellEnd"/>
      <w:r w:rsidRPr="0001046D">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01046D">
        <w:rPr>
          <w:rStyle w:val="Refdenotaalpie"/>
          <w:rFonts w:ascii="Palatino Linotype" w:hAnsi="Palatino Linotype" w:cs="Arial"/>
        </w:rPr>
        <w:footnoteReference w:id="1"/>
      </w:r>
      <w:r w:rsidRPr="0001046D">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01046D">
        <w:rPr>
          <w:rStyle w:val="Refdenotaalpie"/>
          <w:rFonts w:ascii="Palatino Linotype" w:hAnsi="Palatino Linotype" w:cs="Arial"/>
        </w:rPr>
        <w:footnoteReference w:id="2"/>
      </w:r>
      <w:r w:rsidRPr="0001046D">
        <w:rPr>
          <w:rFonts w:ascii="Palatino Linotype" w:hAnsi="Palatino Linotype" w:cs="Arial"/>
          <w:sz w:val="24"/>
          <w:szCs w:val="24"/>
        </w:rPr>
        <w:t xml:space="preserve"> </w:t>
      </w:r>
    </w:p>
    <w:p w:rsidR="0046491C" w:rsidRPr="0001046D" w:rsidRDefault="0046491C" w:rsidP="00E34F08">
      <w:pPr>
        <w:pStyle w:val="Prrafodelista"/>
        <w:spacing w:line="360" w:lineRule="auto"/>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01046D" w:rsidRDefault="0046491C" w:rsidP="00E34F08">
      <w:pPr>
        <w:spacing w:after="0" w:line="360" w:lineRule="auto"/>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01046D">
        <w:rPr>
          <w:rFonts w:ascii="Palatino Linotype" w:hAnsi="Palatino Linotype" w:cs="Arial"/>
          <w:b/>
          <w:sz w:val="24"/>
          <w:szCs w:val="24"/>
        </w:rPr>
        <w:t>garantía de los derechos humanos</w:t>
      </w:r>
      <w:r w:rsidRPr="0001046D">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01046D" w:rsidRDefault="0046491C" w:rsidP="00E34F08">
      <w:pPr>
        <w:spacing w:after="0" w:line="360" w:lineRule="auto"/>
        <w:jc w:val="both"/>
        <w:rPr>
          <w:rFonts w:ascii="Palatino Linotype" w:hAnsi="Palatino Linotype" w:cs="Arial"/>
          <w:sz w:val="24"/>
          <w:szCs w:val="24"/>
        </w:rPr>
      </w:pPr>
    </w:p>
    <w:p w:rsidR="0046491C" w:rsidRDefault="0046491C" w:rsidP="009531A0">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En este sentido el Dr. Miguel Carbonell ha señalado que:</w:t>
      </w:r>
    </w:p>
    <w:p w:rsidR="009531A0" w:rsidRPr="009531A0" w:rsidRDefault="009531A0" w:rsidP="009531A0">
      <w:pPr>
        <w:pStyle w:val="Prrafodelista"/>
        <w:spacing w:after="0" w:line="360" w:lineRule="auto"/>
        <w:ind w:left="0"/>
        <w:jc w:val="both"/>
        <w:rPr>
          <w:rFonts w:ascii="Palatino Linotype" w:hAnsi="Palatino Linotype" w:cs="Arial"/>
          <w:sz w:val="24"/>
          <w:szCs w:val="24"/>
        </w:rPr>
      </w:pPr>
    </w:p>
    <w:p w:rsidR="0046491C" w:rsidRPr="0001046D" w:rsidRDefault="0046491C" w:rsidP="000F6C81">
      <w:pPr>
        <w:pStyle w:val="Prrafodelista"/>
        <w:spacing w:after="0" w:line="360" w:lineRule="auto"/>
        <w:ind w:left="0"/>
        <w:jc w:val="both"/>
        <w:rPr>
          <w:rFonts w:ascii="Palatino Linotype" w:hAnsi="Palatino Linotype" w:cs="Arial"/>
          <w:sz w:val="24"/>
          <w:szCs w:val="24"/>
        </w:rPr>
      </w:pPr>
      <w:r w:rsidRPr="0001046D">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01046D">
        <w:rPr>
          <w:rFonts w:ascii="Palatino Linotype" w:hAnsi="Palatino Linotype" w:cs="Arial"/>
          <w:b/>
          <w:sz w:val="24"/>
          <w:szCs w:val="24"/>
        </w:rPr>
        <w:t>considerando que algún nivel de gobierno tenga obligaciones reforzadas hacia ciertos derechos.</w:t>
      </w:r>
      <w:r w:rsidRPr="0001046D">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01046D">
        <w:rPr>
          <w:rFonts w:ascii="Palatino Linotype" w:hAnsi="Palatino Linotype" w:cs="Arial"/>
          <w:b/>
          <w:sz w:val="24"/>
          <w:szCs w:val="24"/>
        </w:rPr>
        <w:t>tomar todas las medidas que sean pertinentes para tutelar y hacer eficaz un derecho</w:t>
      </w:r>
      <w:r w:rsidRPr="0001046D">
        <w:rPr>
          <w:rFonts w:ascii="Palatino Linotype" w:hAnsi="Palatino Linotype" w:cs="Arial"/>
          <w:sz w:val="24"/>
          <w:szCs w:val="24"/>
        </w:rPr>
        <w:t>”.</w:t>
      </w:r>
      <w:r w:rsidRPr="0001046D">
        <w:rPr>
          <w:rStyle w:val="Refdenotaalpie"/>
          <w:rFonts w:ascii="Palatino Linotype" w:hAnsi="Palatino Linotype" w:cs="Arial"/>
        </w:rPr>
        <w:footnoteReference w:id="3"/>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Por lo que restringir el derecho de acceso a la información pública del particular</w:t>
      </w:r>
      <w:r w:rsidRPr="0001046D">
        <w:rPr>
          <w:rFonts w:ascii="Palatino Linotype" w:hAnsi="Palatino Linotype" w:cs="Arial"/>
          <w:b/>
          <w:sz w:val="24"/>
          <w:szCs w:val="24"/>
        </w:rPr>
        <w:t xml:space="preserve"> </w:t>
      </w:r>
      <w:r w:rsidRPr="0001046D">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01046D" w:rsidRDefault="0046491C" w:rsidP="00E34F08">
      <w:pPr>
        <w:pStyle w:val="Prrafodelista"/>
        <w:spacing w:after="0" w:line="360" w:lineRule="auto"/>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01046D" w:rsidRDefault="0046491C" w:rsidP="00E34F08">
      <w:pPr>
        <w:pStyle w:val="Prrafodelista"/>
        <w:spacing w:line="360" w:lineRule="auto"/>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01046D">
        <w:rPr>
          <w:rFonts w:ascii="Palatino Linotype" w:hAnsi="Palatino Linotype" w:cs="Arial"/>
          <w:sz w:val="24"/>
          <w:szCs w:val="24"/>
        </w:rPr>
        <w:t>Cotta</w:t>
      </w:r>
      <w:proofErr w:type="spellEnd"/>
      <w:r w:rsidRPr="0001046D">
        <w:rPr>
          <w:rFonts w:ascii="Palatino Linotype" w:hAnsi="Palatino Linotype" w:cs="Arial"/>
          <w:sz w:val="24"/>
          <w:szCs w:val="24"/>
        </w:rPr>
        <w:t xml:space="preserve"> que “la obligatoriedad de la norma depende de la validez de su justificación, que es, por consiguiente el fundamento de aquella”,</w:t>
      </w:r>
      <w:r w:rsidRPr="0001046D">
        <w:rPr>
          <w:rStyle w:val="Refdenotaalpie"/>
          <w:rFonts w:ascii="Palatino Linotype" w:hAnsi="Palatino Linotype" w:cs="Arial"/>
        </w:rPr>
        <w:footnoteReference w:id="4"/>
      </w:r>
      <w:r w:rsidRPr="0001046D">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01046D" w:rsidRDefault="0046491C" w:rsidP="00E34F08">
      <w:pPr>
        <w:pStyle w:val="Prrafodelista"/>
        <w:spacing w:line="360" w:lineRule="auto"/>
        <w:jc w:val="both"/>
        <w:rPr>
          <w:rFonts w:ascii="Palatino Linotype" w:hAnsi="Palatino Linotype" w:cs="Arial"/>
          <w:sz w:val="24"/>
          <w:szCs w:val="24"/>
        </w:rPr>
      </w:pPr>
    </w:p>
    <w:p w:rsidR="0046491C" w:rsidRPr="00A71441"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8"/>
          <w:szCs w:val="24"/>
        </w:rPr>
        <w:t xml:space="preserve"> </w:t>
      </w:r>
      <w:r w:rsidRPr="00A71441">
        <w:rPr>
          <w:rFonts w:ascii="Palatino Linotype" w:hAnsi="Palatino Linotype" w:cs="Arial"/>
          <w:sz w:val="24"/>
          <w:szCs w:val="24"/>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A71441">
        <w:rPr>
          <w:rFonts w:ascii="Palatino Linotype" w:hAnsi="Palatino Linotype" w:cs="Arial"/>
          <w:b/>
          <w:sz w:val="24"/>
          <w:szCs w:val="24"/>
        </w:rPr>
        <w:t>el deber que tienen los órganos del Estado, dentro del margen de sus atribuciones, de prevenir violaciones a los derechos fundamentales,</w:t>
      </w:r>
      <w:r w:rsidRPr="00A71441">
        <w:rPr>
          <w:rFonts w:ascii="Palatino Linotype" w:hAnsi="Palatino Linotype" w:cs="Arial"/>
          <w:sz w:val="24"/>
          <w:szCs w:val="24"/>
        </w:rPr>
        <w:t xml:space="preserve"> ya sea que provengan de una autoridad o de algún particular y, por ello, </w:t>
      </w:r>
      <w:r w:rsidRPr="00A71441">
        <w:rPr>
          <w:rFonts w:ascii="Palatino Linotype" w:hAnsi="Palatino Linotype" w:cs="Arial"/>
          <w:b/>
          <w:sz w:val="24"/>
          <w:szCs w:val="24"/>
        </w:rPr>
        <w:t>debe contarse</w:t>
      </w:r>
      <w:r w:rsidRPr="00A71441">
        <w:rPr>
          <w:rFonts w:ascii="Palatino Linotype" w:hAnsi="Palatino Linotype" w:cs="Arial"/>
          <w:sz w:val="24"/>
          <w:szCs w:val="24"/>
        </w:rPr>
        <w:t xml:space="preserve"> tanto </w:t>
      </w:r>
      <w:r w:rsidRPr="00A71441">
        <w:rPr>
          <w:rFonts w:ascii="Palatino Linotype" w:hAnsi="Palatino Linotype" w:cs="Arial"/>
          <w:b/>
          <w:sz w:val="24"/>
          <w:szCs w:val="24"/>
        </w:rPr>
        <w:t>con mecanismos</w:t>
      </w:r>
      <w:r w:rsidRPr="00A71441">
        <w:rPr>
          <w:rFonts w:ascii="Palatino Linotype" w:hAnsi="Palatino Linotype" w:cs="Arial"/>
          <w:sz w:val="24"/>
          <w:szCs w:val="24"/>
        </w:rPr>
        <w:t xml:space="preserve"> de vigilancia como </w:t>
      </w:r>
      <w:r w:rsidRPr="00A71441">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A71441">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9156AC" w:rsidRDefault="0046491C" w:rsidP="00E34F08">
      <w:pPr>
        <w:pStyle w:val="Prrafodelista"/>
        <w:spacing w:after="0" w:line="360" w:lineRule="auto"/>
        <w:ind w:left="426"/>
        <w:jc w:val="both"/>
        <w:rPr>
          <w:rFonts w:ascii="Palatino Linotype" w:hAnsi="Palatino Linotype" w:cs="Arial"/>
          <w:szCs w:val="24"/>
        </w:rPr>
      </w:pPr>
    </w:p>
    <w:p w:rsidR="0046491C" w:rsidRPr="009156AC" w:rsidRDefault="0046491C" w:rsidP="00A71441">
      <w:pPr>
        <w:pStyle w:val="Prrafodelista"/>
        <w:numPr>
          <w:ilvl w:val="0"/>
          <w:numId w:val="1"/>
        </w:numPr>
        <w:spacing w:after="0" w:line="360" w:lineRule="auto"/>
        <w:ind w:left="0" w:firstLine="0"/>
        <w:jc w:val="both"/>
        <w:rPr>
          <w:rFonts w:ascii="Palatino Linotype" w:hAnsi="Palatino Linotype" w:cs="Arial"/>
          <w:szCs w:val="24"/>
        </w:rPr>
      </w:pPr>
      <w:r w:rsidRPr="00A71441">
        <w:rPr>
          <w:rFonts w:ascii="Palatino Linotype" w:hAnsi="Palatino Linotype" w:cs="Arial"/>
          <w:sz w:val="24"/>
          <w:szCs w:val="24"/>
        </w:rPr>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A71441">
        <w:rPr>
          <w:rFonts w:ascii="Palatino Linotype" w:hAnsi="Palatino Linotype" w:cs="Arial"/>
          <w:b/>
          <w:sz w:val="24"/>
          <w:szCs w:val="24"/>
        </w:rPr>
        <w:t>SUJETOS OBLIGADOS</w:t>
      </w:r>
      <w:r w:rsidRPr="00A71441">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w:t>
      </w:r>
      <w:r w:rsidRPr="009156AC">
        <w:rPr>
          <w:rFonts w:ascii="Palatino Linotype" w:hAnsi="Palatino Linotype" w:cs="Arial"/>
          <w:szCs w:val="24"/>
        </w:rPr>
        <w:t>de la queja, instrumento adecuado para prevenir una posible vulneración al derecho de acceso a la información y que además se encuentra disponible para ser operado por esta autoridad.</w:t>
      </w:r>
    </w:p>
    <w:p w:rsidR="00DF6F7E" w:rsidRPr="009156AC" w:rsidRDefault="00DF6F7E" w:rsidP="00E34F08">
      <w:pPr>
        <w:pStyle w:val="Prrafodelista"/>
        <w:spacing w:line="360" w:lineRule="auto"/>
        <w:rPr>
          <w:rFonts w:ascii="Palatino Linotype" w:hAnsi="Palatino Linotype" w:cs="Arial"/>
          <w:szCs w:val="24"/>
        </w:rPr>
      </w:pPr>
    </w:p>
    <w:p w:rsidR="0046491C" w:rsidRPr="00A71441"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4"/>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A71441">
        <w:rPr>
          <w:rFonts w:ascii="Palatino Linotype" w:hAnsi="Palatino Linotype" w:cs="Arial"/>
          <w:sz w:val="24"/>
          <w:szCs w:val="24"/>
        </w:rPr>
        <w:t>procedibilidad</w:t>
      </w:r>
      <w:proofErr w:type="spellEnd"/>
      <w:r w:rsidRPr="00A71441">
        <w:rPr>
          <w:rFonts w:ascii="Palatino Linotype" w:hAnsi="Palatino Linotype" w:cs="Arial"/>
          <w:sz w:val="24"/>
          <w:szCs w:val="24"/>
        </w:rPr>
        <w:t>, ya que en todo momento nos encontramos ante un derecho más alto que, puede considerarse en los siguientes términos:</w:t>
      </w:r>
    </w:p>
    <w:p w:rsidR="0001046D" w:rsidRPr="0001046D" w:rsidRDefault="0001046D" w:rsidP="00E34F08">
      <w:pPr>
        <w:pStyle w:val="Prrafodelista"/>
        <w:spacing w:after="0" w:line="360" w:lineRule="auto"/>
        <w:ind w:left="284"/>
        <w:jc w:val="both"/>
        <w:rPr>
          <w:rFonts w:ascii="Palatino Linotype" w:hAnsi="Palatino Linotype" w:cs="Arial"/>
          <w:sz w:val="24"/>
          <w:szCs w:val="24"/>
        </w:rPr>
      </w:pPr>
    </w:p>
    <w:p w:rsidR="009156AC" w:rsidRDefault="0046491C" w:rsidP="009531A0">
      <w:pPr>
        <w:tabs>
          <w:tab w:val="left" w:pos="567"/>
        </w:tabs>
        <w:spacing w:after="0" w:line="360" w:lineRule="auto"/>
        <w:ind w:left="567" w:right="618"/>
        <w:jc w:val="both"/>
        <w:rPr>
          <w:rFonts w:ascii="Palatino Linotype" w:hAnsi="Palatino Linotype" w:cs="Arial"/>
          <w:i/>
        </w:rPr>
      </w:pPr>
      <w:r w:rsidRPr="0001046D">
        <w:rPr>
          <w:rFonts w:ascii="Palatino Linotype" w:hAnsi="Palatino Linotype" w:cs="Arial"/>
          <w:i/>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01046D">
        <w:rPr>
          <w:rFonts w:ascii="Palatino Linotype" w:hAnsi="Palatino Linotype" w:cs="Arial"/>
          <w:i/>
        </w:rPr>
        <w:t>ocasionalidad</w:t>
      </w:r>
      <w:proofErr w:type="spellEnd"/>
      <w:r w:rsidRPr="0001046D">
        <w:rPr>
          <w:rFonts w:ascii="Palatino Linotype" w:hAnsi="Palatino Linotype" w:cs="Arial"/>
          <w:i/>
        </w:rPr>
        <w:t xml:space="preserve"> de las presiones sociales que se ejercen sobre el mismo”.</w:t>
      </w:r>
      <w:r w:rsidRPr="0001046D">
        <w:rPr>
          <w:rStyle w:val="Refdenotaalpie"/>
          <w:rFonts w:ascii="Palatino Linotype" w:hAnsi="Palatino Linotype" w:cs="Arial"/>
          <w:i/>
        </w:rPr>
        <w:footnoteReference w:id="5"/>
      </w:r>
    </w:p>
    <w:p w:rsidR="009531A0" w:rsidRPr="0001046D" w:rsidRDefault="009531A0" w:rsidP="009531A0">
      <w:pPr>
        <w:tabs>
          <w:tab w:val="left" w:pos="567"/>
        </w:tabs>
        <w:spacing w:after="0" w:line="360" w:lineRule="auto"/>
        <w:ind w:left="567" w:right="618"/>
        <w:jc w:val="both"/>
        <w:rPr>
          <w:rFonts w:ascii="Palatino Linotype" w:hAnsi="Palatino Linotype" w:cs="Arial"/>
          <w:i/>
        </w:rPr>
      </w:pPr>
    </w:p>
    <w:p w:rsidR="0046491C" w:rsidRPr="0001046D"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DF6F7E" w:rsidRDefault="0046491C" w:rsidP="00805837">
      <w:pPr>
        <w:pStyle w:val="Prrafodelista"/>
        <w:numPr>
          <w:ilvl w:val="0"/>
          <w:numId w:val="1"/>
        </w:numPr>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4E3710" w:rsidRPr="00805837" w:rsidRDefault="004E3710" w:rsidP="004E3710">
      <w:pPr>
        <w:pStyle w:val="Prrafodelista"/>
        <w:spacing w:line="360" w:lineRule="auto"/>
        <w:ind w:left="0"/>
        <w:jc w:val="both"/>
        <w:rPr>
          <w:rFonts w:ascii="Palatino Linotype" w:hAnsi="Palatino Linotype" w:cs="Arial"/>
          <w:sz w:val="24"/>
          <w:szCs w:val="24"/>
        </w:rPr>
      </w:pPr>
    </w:p>
    <w:p w:rsidR="00A5491E" w:rsidRDefault="0046491C" w:rsidP="00A5491E">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FF1D51" w:rsidRDefault="00FF1D51" w:rsidP="00805837">
      <w:pPr>
        <w:spacing w:after="0" w:line="360" w:lineRule="auto"/>
        <w:jc w:val="both"/>
        <w:rPr>
          <w:rFonts w:ascii="Palatino Linotype" w:hAnsi="Palatino Linotype" w:cs="Arial"/>
          <w:sz w:val="24"/>
          <w:szCs w:val="24"/>
        </w:rPr>
      </w:pPr>
    </w:p>
    <w:p w:rsidR="00FF1D51" w:rsidRPr="00805837" w:rsidRDefault="00FF1D51" w:rsidP="00805837">
      <w:pPr>
        <w:spacing w:after="0" w:line="360" w:lineRule="auto"/>
        <w:jc w:val="both"/>
        <w:rPr>
          <w:rFonts w:ascii="Palatino Linotype" w:hAnsi="Palatino Linotype" w:cs="Arial"/>
          <w:sz w:val="24"/>
          <w:szCs w:val="24"/>
        </w:rPr>
      </w:pPr>
    </w:p>
    <w:p w:rsidR="0046491C" w:rsidRPr="0001046D" w:rsidRDefault="0046491C" w:rsidP="00E34F08">
      <w:pPr>
        <w:pStyle w:val="Sinespaciado"/>
        <w:spacing w:line="360" w:lineRule="auto"/>
        <w:jc w:val="center"/>
        <w:rPr>
          <w:rFonts w:ascii="Palatino Linotype" w:hAnsi="Palatino Linotype"/>
          <w:b/>
          <w:sz w:val="24"/>
          <w:szCs w:val="24"/>
        </w:rPr>
      </w:pPr>
      <w:r w:rsidRPr="0001046D">
        <w:rPr>
          <w:rFonts w:ascii="Palatino Linotype" w:hAnsi="Palatino Linotype"/>
          <w:b/>
          <w:sz w:val="24"/>
          <w:szCs w:val="24"/>
        </w:rPr>
        <w:t>JOSÉ GUADALUPE LUNA HERNÁNDEZ</w:t>
      </w:r>
    </w:p>
    <w:p w:rsidR="0043343B" w:rsidRDefault="0046491C" w:rsidP="0043343B">
      <w:pPr>
        <w:spacing w:line="360" w:lineRule="auto"/>
        <w:jc w:val="center"/>
        <w:rPr>
          <w:rFonts w:ascii="Palatino Linotype" w:hAnsi="Palatino Linotype"/>
          <w:b/>
          <w:sz w:val="24"/>
          <w:szCs w:val="24"/>
        </w:rPr>
      </w:pPr>
      <w:r w:rsidRPr="0001046D">
        <w:rPr>
          <w:rFonts w:ascii="Palatino Linotype" w:hAnsi="Palatino Linotype"/>
          <w:b/>
          <w:sz w:val="24"/>
          <w:szCs w:val="24"/>
        </w:rPr>
        <w:t>COMISIONADO</w:t>
      </w:r>
    </w:p>
    <w:p w:rsidR="001B6836" w:rsidRDefault="001B6836" w:rsidP="0043343B">
      <w:pPr>
        <w:spacing w:line="360" w:lineRule="auto"/>
        <w:jc w:val="center"/>
        <w:rPr>
          <w:rFonts w:ascii="Palatino Linotype" w:hAnsi="Palatino Linotype"/>
          <w:b/>
          <w:sz w:val="24"/>
          <w:szCs w:val="24"/>
        </w:rPr>
      </w:pPr>
      <w:r>
        <w:rPr>
          <w:rFonts w:ascii="Palatino Linotype" w:hAnsi="Palatino Linotype"/>
          <w:b/>
          <w:sz w:val="24"/>
          <w:szCs w:val="24"/>
        </w:rPr>
        <w:t>(Rúbrica)</w:t>
      </w:r>
    </w:p>
    <w:bookmarkStart w:id="3" w:name="_GoBack"/>
    <w:bookmarkEnd w:id="3"/>
    <w:p w:rsidR="006C0BD4" w:rsidRDefault="00E72786" w:rsidP="0043343B">
      <w:pPr>
        <w:spacing w:line="360" w:lineRule="auto"/>
        <w:jc w:val="center"/>
        <w:rPr>
          <w:rFonts w:ascii="Palatino Linotype" w:hAnsi="Palatino Linotype"/>
          <w:b/>
          <w:sz w:val="24"/>
          <w:szCs w:val="24"/>
        </w:rPr>
      </w:pPr>
      <w:r>
        <w:rPr>
          <w:rFonts w:ascii="Palatino Linotype" w:hAnsi="Palatino Linotype"/>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margin">
                  <wp:posOffset>135255</wp:posOffset>
                </wp:positionH>
                <wp:positionV relativeFrom="paragraph">
                  <wp:posOffset>5715</wp:posOffset>
                </wp:positionV>
                <wp:extent cx="5591175" cy="334327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591175" cy="334327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C61949"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65pt,.45pt" to="450.9pt,2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5owQEAAMoDAAAOAAAAZHJzL2Uyb0RvYy54bWysU9uO0zAQfUfiHyy/UycpBTZqug9dwQuC&#10;issHeB27sfBNY9Okf8/YyWZXgBBCvDgez5njc8aT/e1kDblIiNq7jtabihLphO+1O3f065e3L95Q&#10;EhN3PTfeyY5eZaS3h+fP9mNoZeMHb3oJBElcbMfQ0SGl0DIWxSAtjxsfpMOk8mB5whDOrAc+Irs1&#10;rKmqV2z00AfwQsaIp3dzkh4Kv1JSpI9KRZmI6ShqS2WFst7nlR32vD0DD4MWiwz+Dyos1w4vXanu&#10;eOLkO+hfqKwW4KNXaSO8ZV4pLWTxgG7q6ic3nwceZPGCzYlhbVP8f7Tiw+UERPcdbShx3OITHfGh&#10;RPJAIH9Ik3s0htgi9OhOsEQxnCAbnhTY/EUrZCp9va59lVMiAg93u5u6fr2jRGBuu325bTBAHvZY&#10;HiCmd9JbkjcdNdpl47zll/cxzdAHSD42jow4bjfVrjwhy/pmRWWXrkbOsE9SoTvUUBe6MlfyaIBc&#10;OE5E/61edBiHyFyitDFrUfXnogWby2SZtb8tXNHlRu/SWmi18/C7W9P0IFXNeGzfE695e+/7a3mf&#10;ksCBKR1ehjtP5NO4lD/+gocfAAAA//8DAFBLAwQUAAYACAAAACEA7K0CA94AAAAHAQAADwAAAGRy&#10;cy9kb3ducmV2LnhtbEyPQUvDQBSE74L/YXmCF7GbxMbamJcigocICrbieZu8JtHs25DdpvHf+zzp&#10;cZhh5pt8M9teTTT6zjFCvIhAEVeu7rhBeN89Xd+B8sFwbXrHhPBNHjbF+Vlustqd+I2mbWiUlLDP&#10;DEIbwpBp7auWrPELNxCLd3CjNUHk2Oh6NCcpt71OouhWW9OxLLRmoMeWqq/t0SJ8lh9lk16tusPr&#10;Mn02uyl94alEvLyYH+5BBZrDXxh+8QUdCmHauyPXXvUISXwjSYQ1KHHXUSxH9ghpslqCLnL9n7/4&#10;AQAA//8DAFBLAQItABQABgAIAAAAIQC2gziS/gAAAOEBAAATAAAAAAAAAAAAAAAAAAAAAABbQ29u&#10;dGVudF9UeXBlc10ueG1sUEsBAi0AFAAGAAgAAAAhADj9If/WAAAAlAEAAAsAAAAAAAAAAAAAAAAA&#10;LwEAAF9yZWxzLy5yZWxzUEsBAi0AFAAGAAgAAAAhAOgU7mjBAQAAygMAAA4AAAAAAAAAAAAAAAAA&#10;LgIAAGRycy9lMm9Eb2MueG1sUEsBAi0AFAAGAAgAAAAhAOytAgPeAAAABwEAAA8AAAAAAAAAAAAA&#10;AAAAGwQAAGRycy9kb3ducmV2LnhtbFBLBQYAAAAABAAEAPMAAAAmBQAAAAA=&#10;" strokecolor="black [3200]" strokeweight="1.5pt">
                <v:stroke joinstyle="miter"/>
                <w10:wrap anchorx="margin"/>
              </v:line>
            </w:pict>
          </mc:Fallback>
        </mc:AlternateContent>
      </w:r>
    </w:p>
    <w:p w:rsidR="00FF1D51" w:rsidRDefault="00FF1D51" w:rsidP="0043343B">
      <w:pPr>
        <w:spacing w:line="360" w:lineRule="auto"/>
        <w:jc w:val="center"/>
        <w:rPr>
          <w:rFonts w:ascii="Palatino Linotype" w:hAnsi="Palatino Linotype"/>
          <w:b/>
          <w:sz w:val="24"/>
          <w:szCs w:val="24"/>
        </w:rPr>
      </w:pPr>
    </w:p>
    <w:p w:rsidR="00FF1D51" w:rsidRDefault="00FF1D51" w:rsidP="0043343B">
      <w:pPr>
        <w:spacing w:line="360" w:lineRule="auto"/>
        <w:jc w:val="center"/>
        <w:rPr>
          <w:rFonts w:ascii="Palatino Linotype" w:hAnsi="Palatino Linotype"/>
          <w:b/>
          <w:sz w:val="24"/>
          <w:szCs w:val="24"/>
        </w:rPr>
      </w:pPr>
    </w:p>
    <w:p w:rsidR="00FF1D51" w:rsidRDefault="00FF1D51" w:rsidP="0043343B">
      <w:pPr>
        <w:spacing w:line="360" w:lineRule="auto"/>
        <w:jc w:val="center"/>
        <w:rPr>
          <w:rFonts w:ascii="Palatino Linotype" w:hAnsi="Palatino Linotype"/>
          <w:b/>
          <w:sz w:val="24"/>
          <w:szCs w:val="24"/>
        </w:rPr>
      </w:pPr>
    </w:p>
    <w:p w:rsidR="00FF1D51" w:rsidRDefault="00FF1D51" w:rsidP="0043343B">
      <w:pPr>
        <w:spacing w:line="360" w:lineRule="auto"/>
        <w:jc w:val="center"/>
        <w:rPr>
          <w:rFonts w:ascii="Palatino Linotype" w:hAnsi="Palatino Linotype"/>
          <w:b/>
          <w:sz w:val="24"/>
          <w:szCs w:val="24"/>
        </w:rPr>
      </w:pPr>
    </w:p>
    <w:p w:rsidR="00FF1D51" w:rsidRDefault="00FF1D51" w:rsidP="00575478">
      <w:pPr>
        <w:spacing w:line="360" w:lineRule="auto"/>
        <w:rPr>
          <w:rFonts w:ascii="Palatino Linotype" w:hAnsi="Palatino Linotype"/>
          <w:b/>
          <w:sz w:val="24"/>
          <w:szCs w:val="24"/>
        </w:rPr>
      </w:pPr>
    </w:p>
    <w:p w:rsidR="006C0BD4" w:rsidRDefault="006C0BD4" w:rsidP="00575478">
      <w:pPr>
        <w:spacing w:line="360" w:lineRule="auto"/>
        <w:rPr>
          <w:rFonts w:ascii="Palatino Linotype" w:hAnsi="Palatino Linotype"/>
          <w:b/>
          <w:sz w:val="24"/>
          <w:szCs w:val="24"/>
        </w:rPr>
      </w:pPr>
    </w:p>
    <w:p w:rsidR="00FF1D51" w:rsidRDefault="00FF1D51" w:rsidP="00575478">
      <w:pPr>
        <w:spacing w:line="360" w:lineRule="auto"/>
        <w:rPr>
          <w:rFonts w:ascii="Palatino Linotype" w:hAnsi="Palatino Linotype"/>
          <w:b/>
          <w:sz w:val="18"/>
          <w:szCs w:val="24"/>
        </w:rPr>
      </w:pPr>
    </w:p>
    <w:p w:rsidR="00FF1D51" w:rsidRDefault="00A71441" w:rsidP="00575478">
      <w:pPr>
        <w:spacing w:line="360" w:lineRule="auto"/>
        <w:rPr>
          <w:rFonts w:ascii="Palatino Linotype" w:hAnsi="Palatino Linotype"/>
          <w:b/>
          <w:sz w:val="18"/>
          <w:szCs w:val="24"/>
        </w:rPr>
      </w:pPr>
      <w:r w:rsidRPr="00E47A30">
        <w:rPr>
          <w:rFonts w:ascii="Palatino Linotype" w:hAnsi="Palatino Linotype"/>
          <w:b/>
          <w:sz w:val="18"/>
          <w:szCs w:val="24"/>
        </w:rPr>
        <w:t>JGLH/MPBR</w:t>
      </w:r>
      <w:r w:rsidR="00FF1D51">
        <w:rPr>
          <w:rFonts w:ascii="Palatino Linotype" w:hAnsi="Palatino Linotype"/>
          <w:b/>
          <w:sz w:val="18"/>
          <w:szCs w:val="24"/>
        </w:rPr>
        <w:t>.</w:t>
      </w:r>
    </w:p>
    <w:p w:rsidR="00FF1D51" w:rsidRPr="00E47A30" w:rsidRDefault="00FF1D51" w:rsidP="001B6836">
      <w:pPr>
        <w:spacing w:after="0" w:line="240" w:lineRule="auto"/>
        <w:jc w:val="both"/>
        <w:rPr>
          <w:rFonts w:ascii="Palatino Linotype" w:hAnsi="Palatino Linotype"/>
          <w:b/>
          <w:sz w:val="18"/>
          <w:szCs w:val="24"/>
        </w:rPr>
      </w:pPr>
      <w:r>
        <w:rPr>
          <w:rFonts w:ascii="Palatino Linotype" w:eastAsiaTheme="minorEastAsia" w:hAnsi="Palatino Linotype" w:cs="Arial"/>
          <w:sz w:val="24"/>
          <w:szCs w:val="18"/>
          <w:lang w:val="es-ES_tradnl" w:eastAsia="es-ES"/>
        </w:rPr>
        <w:t>Esta hoja corresponde al voto particular emitido</w:t>
      </w:r>
      <w:r w:rsidRPr="00FF1D51">
        <w:rPr>
          <w:rFonts w:ascii="Palatino Linotype" w:eastAsiaTheme="minorEastAsia" w:hAnsi="Palatino Linotype" w:cs="Arial"/>
          <w:sz w:val="24"/>
          <w:szCs w:val="18"/>
          <w:lang w:val="es-ES_tradnl" w:eastAsia="es-ES"/>
        </w:rPr>
        <w:t xml:space="preserve"> en el recurso de revisión </w:t>
      </w:r>
      <w:r w:rsidR="001B6836">
        <w:rPr>
          <w:rFonts w:ascii="Palatino Linotype" w:eastAsiaTheme="minorEastAsia" w:hAnsi="Palatino Linotype" w:cs="Arial"/>
          <w:b/>
          <w:bCs/>
          <w:sz w:val="24"/>
          <w:szCs w:val="18"/>
          <w:lang w:val="es-ES_tradnl" w:eastAsia="es-ES"/>
        </w:rPr>
        <w:t>008</w:t>
      </w:r>
      <w:r w:rsidRPr="00FF1D51">
        <w:rPr>
          <w:rFonts w:ascii="Palatino Linotype" w:eastAsiaTheme="minorEastAsia" w:hAnsi="Palatino Linotype" w:cs="Arial"/>
          <w:b/>
          <w:bCs/>
          <w:sz w:val="24"/>
          <w:szCs w:val="18"/>
          <w:lang w:val="es-ES_tradnl" w:eastAsia="es-ES"/>
        </w:rPr>
        <w:t>92/INFOEM/IP/RR/2019</w:t>
      </w:r>
      <w:r w:rsidRPr="00FF1D51">
        <w:rPr>
          <w:rFonts w:ascii="Palatino Linotype" w:eastAsiaTheme="minorEastAsia" w:hAnsi="Palatino Linotype" w:cs="Arial"/>
          <w:b/>
          <w:bCs/>
          <w:sz w:val="20"/>
          <w:szCs w:val="18"/>
          <w:lang w:val="es-ES_tradnl" w:eastAsia="es-ES"/>
        </w:rPr>
        <w:t>.</w:t>
      </w:r>
    </w:p>
    <w:sectPr w:rsidR="00FF1D51" w:rsidRPr="00E47A30" w:rsidSect="00DA55B8">
      <w:headerReference w:type="even" r:id="rId8"/>
      <w:headerReference w:type="default" r:id="rId9"/>
      <w:footerReference w:type="default" r:id="rId10"/>
      <w:headerReference w:type="first" r:id="rId11"/>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C72" w:rsidRDefault="00390C72" w:rsidP="00E706DA">
      <w:pPr>
        <w:spacing w:after="0" w:line="240" w:lineRule="auto"/>
      </w:pPr>
      <w:r>
        <w:separator/>
      </w:r>
    </w:p>
  </w:endnote>
  <w:endnote w:type="continuationSeparator" w:id="0">
    <w:p w:rsidR="00390C72" w:rsidRDefault="00390C72"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9E6C5F">
              <w:rPr>
                <w:rFonts w:ascii="Palatino Linotype" w:hAnsi="Palatino Linotype"/>
                <w:b/>
                <w:bCs/>
                <w:noProof/>
                <w:sz w:val="20"/>
                <w:szCs w:val="20"/>
              </w:rPr>
              <w:t>5</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9E6C5F">
              <w:rPr>
                <w:rFonts w:ascii="Palatino Linotype" w:hAnsi="Palatino Linotype"/>
                <w:b/>
                <w:bCs/>
                <w:noProof/>
                <w:sz w:val="20"/>
                <w:szCs w:val="20"/>
              </w:rPr>
              <w:t>17</w:t>
            </w:r>
            <w:r w:rsidRPr="0052203D">
              <w:rPr>
                <w:rFonts w:ascii="Palatino Linotype" w:hAnsi="Palatino Linotype"/>
                <w:b/>
                <w:bCs/>
                <w:sz w:val="20"/>
                <w:szCs w:val="20"/>
              </w:rPr>
              <w:fldChar w:fldCharType="end"/>
            </w:r>
          </w:p>
        </w:sdtContent>
      </w:sdt>
    </w:sdtContent>
  </w:sdt>
  <w:p w:rsidR="00951E8B" w:rsidRDefault="009E6C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C72" w:rsidRDefault="00390C72" w:rsidP="00E706DA">
      <w:pPr>
        <w:spacing w:after="0" w:line="240" w:lineRule="auto"/>
      </w:pPr>
      <w:r>
        <w:separator/>
      </w:r>
    </w:p>
  </w:footnote>
  <w:footnote w:type="continuationSeparator" w:id="0">
    <w:p w:rsidR="00390C72" w:rsidRDefault="00390C72"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E6C5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E6C5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9E6C5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E6C5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0AF5F41"/>
    <w:multiLevelType w:val="hybridMultilevel"/>
    <w:tmpl w:val="C48CC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6">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ADA4B84"/>
    <w:multiLevelType w:val="hybridMultilevel"/>
    <w:tmpl w:val="890E8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77202FA"/>
    <w:multiLevelType w:val="hybridMultilevel"/>
    <w:tmpl w:val="0ADE41A8"/>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8E14633"/>
    <w:multiLevelType w:val="hybridMultilevel"/>
    <w:tmpl w:val="0C50C2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6B851C05"/>
    <w:multiLevelType w:val="hybridMultilevel"/>
    <w:tmpl w:val="3CC0E3D8"/>
    <w:lvl w:ilvl="0" w:tplc="AEF8F57C">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D6D1AE4"/>
    <w:multiLevelType w:val="hybridMultilevel"/>
    <w:tmpl w:val="6C3494CE"/>
    <w:lvl w:ilvl="0" w:tplc="1F72B716">
      <w:numFmt w:val="bullet"/>
      <w:lvlText w:val="-"/>
      <w:lvlJc w:val="left"/>
      <w:pPr>
        <w:ind w:left="1080" w:hanging="360"/>
      </w:pPr>
      <w:rPr>
        <w:rFonts w:ascii="Palatino Linotype" w:eastAsiaTheme="minorHAnsi"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0"/>
  </w:num>
  <w:num w:numId="2">
    <w:abstractNumId w:val="0"/>
  </w:num>
  <w:num w:numId="3">
    <w:abstractNumId w:val="3"/>
  </w:num>
  <w:num w:numId="4">
    <w:abstractNumId w:val="7"/>
  </w:num>
  <w:num w:numId="5">
    <w:abstractNumId w:val="9"/>
  </w:num>
  <w:num w:numId="6">
    <w:abstractNumId w:val="11"/>
  </w:num>
  <w:num w:numId="7">
    <w:abstractNumId w:val="15"/>
  </w:num>
  <w:num w:numId="8">
    <w:abstractNumId w:val="12"/>
  </w:num>
  <w:num w:numId="9">
    <w:abstractNumId w:val="17"/>
  </w:num>
  <w:num w:numId="10">
    <w:abstractNumId w:val="1"/>
  </w:num>
  <w:num w:numId="11">
    <w:abstractNumId w:val="16"/>
  </w:num>
  <w:num w:numId="12">
    <w:abstractNumId w:val="6"/>
  </w:num>
  <w:num w:numId="13">
    <w:abstractNumId w:val="2"/>
  </w:num>
  <w:num w:numId="14">
    <w:abstractNumId w:val="5"/>
  </w:num>
  <w:num w:numId="15">
    <w:abstractNumId w:val="13"/>
  </w:num>
  <w:num w:numId="16">
    <w:abstractNumId w:val="8"/>
  </w:num>
  <w:num w:numId="17">
    <w:abstractNumId w:val="14"/>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31F7F"/>
    <w:rsid w:val="00073F0D"/>
    <w:rsid w:val="000951B4"/>
    <w:rsid w:val="000A77B5"/>
    <w:rsid w:val="000A7B66"/>
    <w:rsid w:val="000F6C81"/>
    <w:rsid w:val="000F6CBB"/>
    <w:rsid w:val="00105730"/>
    <w:rsid w:val="00114FDC"/>
    <w:rsid w:val="00122625"/>
    <w:rsid w:val="00194B6A"/>
    <w:rsid w:val="001B6836"/>
    <w:rsid w:val="001D3F34"/>
    <w:rsid w:val="0020315F"/>
    <w:rsid w:val="002036ED"/>
    <w:rsid w:val="0021461E"/>
    <w:rsid w:val="00222DD9"/>
    <w:rsid w:val="00225026"/>
    <w:rsid w:val="0025704D"/>
    <w:rsid w:val="00260D6C"/>
    <w:rsid w:val="002620E9"/>
    <w:rsid w:val="00281310"/>
    <w:rsid w:val="002C1F75"/>
    <w:rsid w:val="00302832"/>
    <w:rsid w:val="00346DBD"/>
    <w:rsid w:val="00367E00"/>
    <w:rsid w:val="003705BB"/>
    <w:rsid w:val="003747A5"/>
    <w:rsid w:val="003837C2"/>
    <w:rsid w:val="00390C72"/>
    <w:rsid w:val="003D7B9E"/>
    <w:rsid w:val="003E216C"/>
    <w:rsid w:val="003F6E8C"/>
    <w:rsid w:val="00412952"/>
    <w:rsid w:val="00413496"/>
    <w:rsid w:val="00424DE3"/>
    <w:rsid w:val="0043343B"/>
    <w:rsid w:val="00444048"/>
    <w:rsid w:val="0046491C"/>
    <w:rsid w:val="0048490F"/>
    <w:rsid w:val="00497EB1"/>
    <w:rsid w:val="004E3710"/>
    <w:rsid w:val="004F5418"/>
    <w:rsid w:val="005237D2"/>
    <w:rsid w:val="00532410"/>
    <w:rsid w:val="0057394E"/>
    <w:rsid w:val="00575478"/>
    <w:rsid w:val="00587C4C"/>
    <w:rsid w:val="005A3267"/>
    <w:rsid w:val="005C79C8"/>
    <w:rsid w:val="005F3760"/>
    <w:rsid w:val="00634736"/>
    <w:rsid w:val="00651380"/>
    <w:rsid w:val="006728FD"/>
    <w:rsid w:val="00673293"/>
    <w:rsid w:val="0069498B"/>
    <w:rsid w:val="006C0BD4"/>
    <w:rsid w:val="006E2606"/>
    <w:rsid w:val="00717C0D"/>
    <w:rsid w:val="0072136B"/>
    <w:rsid w:val="0076241F"/>
    <w:rsid w:val="00770016"/>
    <w:rsid w:val="00790E37"/>
    <w:rsid w:val="007A7FAD"/>
    <w:rsid w:val="007E2CF8"/>
    <w:rsid w:val="00805837"/>
    <w:rsid w:val="00814E97"/>
    <w:rsid w:val="008361CA"/>
    <w:rsid w:val="00850252"/>
    <w:rsid w:val="00856FA1"/>
    <w:rsid w:val="008822B3"/>
    <w:rsid w:val="008B03B6"/>
    <w:rsid w:val="008C2FF2"/>
    <w:rsid w:val="008D44B3"/>
    <w:rsid w:val="008D4B3A"/>
    <w:rsid w:val="008E01AC"/>
    <w:rsid w:val="008E1DCC"/>
    <w:rsid w:val="008F3E81"/>
    <w:rsid w:val="00900E75"/>
    <w:rsid w:val="00902248"/>
    <w:rsid w:val="009156AC"/>
    <w:rsid w:val="00924009"/>
    <w:rsid w:val="00937B23"/>
    <w:rsid w:val="00937D7D"/>
    <w:rsid w:val="0094239C"/>
    <w:rsid w:val="009531A0"/>
    <w:rsid w:val="009B4E7D"/>
    <w:rsid w:val="009C4EF6"/>
    <w:rsid w:val="009E6C5F"/>
    <w:rsid w:val="009F1B31"/>
    <w:rsid w:val="00A5491E"/>
    <w:rsid w:val="00A63717"/>
    <w:rsid w:val="00A71441"/>
    <w:rsid w:val="00A93705"/>
    <w:rsid w:val="00AA49F3"/>
    <w:rsid w:val="00AB023D"/>
    <w:rsid w:val="00AB126B"/>
    <w:rsid w:val="00AC381E"/>
    <w:rsid w:val="00AE4797"/>
    <w:rsid w:val="00AE58DA"/>
    <w:rsid w:val="00AF73BC"/>
    <w:rsid w:val="00B120CA"/>
    <w:rsid w:val="00B62486"/>
    <w:rsid w:val="00BC36AB"/>
    <w:rsid w:val="00BC7B0C"/>
    <w:rsid w:val="00BF3534"/>
    <w:rsid w:val="00C4038B"/>
    <w:rsid w:val="00CA5ADD"/>
    <w:rsid w:val="00CE0823"/>
    <w:rsid w:val="00CF0E21"/>
    <w:rsid w:val="00D21BA3"/>
    <w:rsid w:val="00D33AF9"/>
    <w:rsid w:val="00D363F7"/>
    <w:rsid w:val="00D72985"/>
    <w:rsid w:val="00D7508B"/>
    <w:rsid w:val="00DF6F7E"/>
    <w:rsid w:val="00E2055A"/>
    <w:rsid w:val="00E34F08"/>
    <w:rsid w:val="00E35329"/>
    <w:rsid w:val="00E47A30"/>
    <w:rsid w:val="00E61AB8"/>
    <w:rsid w:val="00E706DA"/>
    <w:rsid w:val="00E72786"/>
    <w:rsid w:val="00E83E93"/>
    <w:rsid w:val="00E90EB5"/>
    <w:rsid w:val="00E94FBF"/>
    <w:rsid w:val="00EA2C08"/>
    <w:rsid w:val="00ED57EE"/>
    <w:rsid w:val="00EF0C2D"/>
    <w:rsid w:val="00F04DC9"/>
    <w:rsid w:val="00F25783"/>
    <w:rsid w:val="00F27B07"/>
    <w:rsid w:val="00F41F0C"/>
    <w:rsid w:val="00F45161"/>
    <w:rsid w:val="00F46E78"/>
    <w:rsid w:val="00F857BC"/>
    <w:rsid w:val="00FB36A6"/>
    <w:rsid w:val="00FC4635"/>
    <w:rsid w:val="00FE23FD"/>
    <w:rsid w:val="00FF0F06"/>
    <w:rsid w:val="00FF1D51"/>
    <w:rsid w:val="00FF3A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A2C08"/>
    <w:pPr>
      <w:tabs>
        <w:tab w:val="left" w:pos="660"/>
        <w:tab w:val="right" w:leader="dot" w:pos="8828"/>
      </w:tabs>
      <w:spacing w:after="100"/>
      <w:ind w:left="426" w:hanging="426"/>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956146">
      <w:bodyDiv w:val="1"/>
      <w:marLeft w:val="0"/>
      <w:marRight w:val="0"/>
      <w:marTop w:val="0"/>
      <w:marBottom w:val="0"/>
      <w:divBdr>
        <w:top w:val="none" w:sz="0" w:space="0" w:color="auto"/>
        <w:left w:val="none" w:sz="0" w:space="0" w:color="auto"/>
        <w:bottom w:val="none" w:sz="0" w:space="0" w:color="auto"/>
        <w:right w:val="none" w:sz="0" w:space="0" w:color="auto"/>
      </w:divBdr>
    </w:div>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1D150-A181-4227-A955-A5080703A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3532</Words>
  <Characters>19427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2019-04-29T22:34:00Z</cp:lastPrinted>
  <dcterms:created xsi:type="dcterms:W3CDTF">2019-06-19T23:28:00Z</dcterms:created>
  <dcterms:modified xsi:type="dcterms:W3CDTF">2019-08-12T16:47:00Z</dcterms:modified>
</cp:coreProperties>
</file>